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E" w:rsidRDefault="001717C6" w:rsidP="001717C6">
      <w:pPr>
        <w:shd w:val="clear" w:color="auto" w:fill="FFFFFF"/>
        <w:spacing w:before="150" w:after="75" w:line="285" w:lineRule="atLeast"/>
        <w:jc w:val="center"/>
        <w:outlineLvl w:val="1"/>
        <w:rPr>
          <w:rFonts w:ascii="Verdana" w:eastAsia="Times New Roman" w:hAnsi="Verdana" w:cs="Times New Roman"/>
          <w:b/>
          <w:i/>
          <w:iCs/>
          <w:color w:val="333311"/>
          <w:sz w:val="28"/>
          <w:szCs w:val="28"/>
          <w:lang w:eastAsia="fr-FR"/>
        </w:rPr>
      </w:pPr>
      <w:r w:rsidRPr="001717C6">
        <w:rPr>
          <w:rFonts w:ascii="Verdana" w:eastAsia="Times New Roman" w:hAnsi="Verdana" w:cs="Times New Roman"/>
          <w:b/>
          <w:i/>
          <w:iCs/>
          <w:color w:val="333311"/>
          <w:sz w:val="28"/>
          <w:szCs w:val="28"/>
          <w:lang w:eastAsia="fr-FR"/>
        </w:rPr>
        <w:t>LE RAPPORT D’ETONNEMENT</w:t>
      </w:r>
    </w:p>
    <w:p w:rsidR="001717C6" w:rsidRPr="001717C6" w:rsidRDefault="001717C6" w:rsidP="001717C6">
      <w:pPr>
        <w:shd w:val="clear" w:color="auto" w:fill="FFFFFF"/>
        <w:spacing w:before="150" w:after="75" w:line="285" w:lineRule="atLeast"/>
        <w:jc w:val="center"/>
        <w:outlineLvl w:val="1"/>
        <w:rPr>
          <w:rFonts w:ascii="Verdana" w:eastAsia="Times New Roman" w:hAnsi="Verdana" w:cs="Times New Roman"/>
          <w:b/>
          <w:i/>
          <w:iCs/>
          <w:color w:val="333311"/>
          <w:sz w:val="28"/>
          <w:szCs w:val="28"/>
          <w:lang w:eastAsia="fr-FR"/>
        </w:rPr>
      </w:pPr>
    </w:p>
    <w:p w:rsidR="004E61BE" w:rsidRDefault="001717C6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  <w:t>P</w:t>
      </w:r>
      <w:r w:rsidR="004E61BE" w:rsidRPr="004E61BE"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  <w:t>rincipe</w:t>
      </w:r>
    </w:p>
    <w:p w:rsidR="001717C6" w:rsidRPr="004E61BE" w:rsidRDefault="001717C6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Traditionnellement, la demande de rédaction d'un rapport d'étonnement peut être adressée à un stagiaire ou à une nouvelle recrue afin de l'inviter à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partager ses observations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en mettant</w:t>
      </w:r>
      <w:r w:rsidR="001717C6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 xml:space="preserve"> 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l'accent prioritairement sur les points singuliers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 xml:space="preserve">. D'une certaine manière, on espère que "la virginité" du rapporteur sera source de créativité ou de </w:t>
      </w:r>
      <w:proofErr w:type="spellStart"/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défectuologie</w:t>
      </w:r>
      <w:proofErr w:type="spellEnd"/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.</w:t>
      </w: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Le rapport d'étonnement est finalement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 xml:space="preserve">une boîte à idées "one </w:t>
      </w:r>
      <w:proofErr w:type="spellStart"/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shot</w:t>
      </w:r>
      <w:proofErr w:type="spellEnd"/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"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permettant,</w:t>
      </w:r>
    </w:p>
    <w:p w:rsidR="004E61BE" w:rsidRPr="004E61BE" w:rsidRDefault="004E61BE" w:rsidP="004E6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au rapporteur : d'être valorisé en exprimant ses poi</w:t>
      </w:r>
      <w:r w:rsidR="001717C6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 xml:space="preserve">nts de vue et des propositions </w:t>
      </w:r>
    </w:p>
    <w:p w:rsidR="004E61BE" w:rsidRPr="004E61BE" w:rsidRDefault="004E61BE" w:rsidP="004E6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au(x) destinataire(s) : de faire preuve d'ouverture, de récolter des idées et, le cas échéant, de détecter des incompréhensions ou des incohérences.</w:t>
      </w:r>
    </w:p>
    <w:p w:rsidR="001717C6" w:rsidRDefault="004E61BE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i/>
          <w:iCs/>
          <w:noProof/>
          <w:color w:val="333311"/>
          <w:sz w:val="28"/>
          <w:szCs w:val="28"/>
          <w:lang w:eastAsia="fr-FR"/>
        </w:rPr>
        <w:drawing>
          <wp:inline distT="0" distB="0" distL="0" distR="0">
            <wp:extent cx="2476500" cy="3181350"/>
            <wp:effectExtent l="19050" t="0" r="0" b="0"/>
            <wp:docPr id="1" name="Image 1" descr="http://www.180-360.net/userfiles/image/business-storming/rapport-etonnement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80-360.net/userfiles/image/business-storming/rapport-etonnement-fu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BE" w:rsidRDefault="004E61BE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  <w:r w:rsidRPr="004E61BE"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  <w:t>Conseils ou suggestions</w:t>
      </w:r>
    </w:p>
    <w:p w:rsidR="001717C6" w:rsidRPr="004E61BE" w:rsidRDefault="001717C6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D'une part, ce sont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les idées-clés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et les observations singulières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qui importent dans le rapport d'étonnement ; le style rédactionnel et la mise en forme sont accessoires.</w:t>
      </w: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D'autre part, il faut espérer que le rapporteur adopte</w:t>
      </w:r>
      <w:r w:rsidR="001717C6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 xml:space="preserve"> 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différents angles de vue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, question de multiplier l'étonnement ou les idées détonantes.</w:t>
      </w:r>
    </w:p>
    <w:p w:rsidR="004E61BE" w:rsidRPr="001717C6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b/>
          <w:color w:val="111111"/>
          <w:sz w:val="20"/>
          <w:szCs w:val="20"/>
          <w:lang w:eastAsia="fr-FR"/>
        </w:rPr>
      </w:pPr>
      <w:r w:rsidRPr="001717C6">
        <w:rPr>
          <w:rFonts w:ascii="Verdana" w:eastAsia="Times New Roman" w:hAnsi="Verdana" w:cs="Times New Roman"/>
          <w:b/>
          <w:color w:val="111111"/>
          <w:sz w:val="20"/>
          <w:szCs w:val="20"/>
          <w:lang w:eastAsia="fr-FR"/>
        </w:rPr>
        <w:t>Une mission taillée sur mesure pour la carte mentale à 180° ou à 360°.</w:t>
      </w: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Pour faire gagner du temps et des idées à l'observateur, on pensera à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préparer un canevas ou une carte-formulaire</w:t>
      </w:r>
      <w:r w:rsidR="001717C6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 :</w:t>
      </w:r>
    </w:p>
    <w:p w:rsidR="004E61BE" w:rsidRPr="004E61BE" w:rsidRDefault="004E61BE" w:rsidP="004E6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lastRenderedPageBreak/>
        <w:t>s'inspirant par exemple des 5, 6 ou 7 M,</w:t>
      </w:r>
    </w:p>
    <w:p w:rsidR="001717C6" w:rsidRDefault="004E61BE" w:rsidP="001717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fixant, pourquoi pas, des quotas à atteindre (à l'instar du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proofErr w:type="spellStart"/>
      <w:r w:rsidR="000A2FC9"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fldChar w:fldCharType="begin"/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instrText xml:space="preserve"> HYPERLINK "http://www.180-360.net/map-blossom" </w:instrText>
      </w:r>
      <w:r w:rsidR="000A2FC9"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fldChar w:fldCharType="separate"/>
      </w:r>
      <w:r w:rsidRPr="004E61BE">
        <w:rPr>
          <w:rFonts w:ascii="Verdana" w:eastAsia="Times New Roman" w:hAnsi="Verdana" w:cs="Times New Roman"/>
          <w:color w:val="007EA7"/>
          <w:sz w:val="20"/>
          <w:lang w:eastAsia="fr-FR"/>
        </w:rPr>
        <w:t>Map</w:t>
      </w:r>
      <w:proofErr w:type="spellEnd"/>
      <w:r w:rsidRPr="004E61BE">
        <w:rPr>
          <w:rFonts w:ascii="Verdana" w:eastAsia="Times New Roman" w:hAnsi="Verdana" w:cs="Times New Roman"/>
          <w:color w:val="007EA7"/>
          <w:sz w:val="20"/>
          <w:lang w:eastAsia="fr-FR"/>
        </w:rPr>
        <w:t xml:space="preserve"> </w:t>
      </w:r>
      <w:proofErr w:type="spellStart"/>
      <w:r w:rsidRPr="004E61BE">
        <w:rPr>
          <w:rFonts w:ascii="Verdana" w:eastAsia="Times New Roman" w:hAnsi="Verdana" w:cs="Times New Roman"/>
          <w:color w:val="007EA7"/>
          <w:sz w:val="20"/>
          <w:lang w:eastAsia="fr-FR"/>
        </w:rPr>
        <w:t>Blossom</w:t>
      </w:r>
      <w:proofErr w:type="spellEnd"/>
      <w:r w:rsidR="000A2FC9"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fldChar w:fldCharType="end"/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).</w:t>
      </w:r>
    </w:p>
    <w:p w:rsidR="001717C6" w:rsidRPr="001717C6" w:rsidRDefault="001717C6" w:rsidP="001717C6">
      <w:pPr>
        <w:shd w:val="clear" w:color="auto" w:fill="FFFFFF"/>
        <w:spacing w:before="100" w:beforeAutospacing="1" w:after="100" w:afterAutospacing="1" w:line="285" w:lineRule="atLeast"/>
        <w:ind w:left="720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</w:p>
    <w:p w:rsidR="004E61BE" w:rsidRDefault="004E61BE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  <w:r w:rsidRPr="004E61BE"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  <w:t xml:space="preserve">Etonnement à </w:t>
      </w:r>
      <w:r w:rsidR="001717C6"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  <w:t>propos du rapport d'étonnement :</w:t>
      </w:r>
    </w:p>
    <w:p w:rsidR="001717C6" w:rsidRPr="004E61BE" w:rsidRDefault="001717C6" w:rsidP="004E61BE">
      <w:pPr>
        <w:shd w:val="clear" w:color="auto" w:fill="FFFFFF"/>
        <w:spacing w:before="150" w:after="75" w:line="285" w:lineRule="atLeast"/>
        <w:outlineLvl w:val="1"/>
        <w:rPr>
          <w:rFonts w:ascii="Verdana" w:eastAsia="Times New Roman" w:hAnsi="Verdana" w:cs="Times New Roman"/>
          <w:i/>
          <w:iCs/>
          <w:color w:val="333311"/>
          <w:sz w:val="28"/>
          <w:szCs w:val="28"/>
          <w:lang w:eastAsia="fr-FR"/>
        </w:rPr>
      </w:pP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Excellente idée que de proposer cet outil à l'issue d'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un stage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ou quelques semaines après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une entrée en service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.</w:t>
      </w: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Pourquoi ne pas la proposer à tout public et l'utiliser également...</w:t>
      </w:r>
    </w:p>
    <w:p w:rsidR="004E61BE" w:rsidRPr="004E61BE" w:rsidRDefault="004E61BE" w:rsidP="004E6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après une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formation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(tant pour les participants que pour le formateur) ;</w:t>
      </w:r>
    </w:p>
    <w:p w:rsidR="004E61BE" w:rsidRPr="004E61BE" w:rsidRDefault="004E61BE" w:rsidP="004E6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au terme d'une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réunion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ou d'un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événement particulier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(ex : congrès) ;</w:t>
      </w:r>
    </w:p>
    <w:p w:rsidR="004E61BE" w:rsidRPr="004E61BE" w:rsidRDefault="004E61BE" w:rsidP="004E6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au cours d'un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entretien d'évaluation périodique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;</w:t>
      </w:r>
    </w:p>
    <w:p w:rsidR="004E61BE" w:rsidRPr="004E61BE" w:rsidRDefault="004E61BE" w:rsidP="004E6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après la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lecture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d'un texte ou d'un ouvrage ;</w:t>
      </w:r>
    </w:p>
    <w:p w:rsidR="004E61BE" w:rsidRPr="004E61BE" w:rsidRDefault="004E61BE" w:rsidP="004E6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avant ou pendant la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b/>
          <w:bCs/>
          <w:color w:val="111111"/>
          <w:sz w:val="20"/>
          <w:lang w:eastAsia="fr-FR"/>
        </w:rPr>
        <w:t>rédaction d'un rapport</w:t>
      </w:r>
      <w:r w:rsidRPr="004E61BE">
        <w:rPr>
          <w:rFonts w:ascii="Verdana" w:eastAsia="Times New Roman" w:hAnsi="Verdana" w:cs="Times New Roman"/>
          <w:color w:val="111111"/>
          <w:sz w:val="20"/>
          <w:lang w:eastAsia="fr-FR"/>
        </w:rPr>
        <w:t> </w:t>
      </w: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ou d'une synthèse ; etc.</w:t>
      </w:r>
    </w:p>
    <w:p w:rsidR="004E61BE" w:rsidRPr="004E61BE" w:rsidRDefault="004E61BE" w:rsidP="004E61BE">
      <w:pPr>
        <w:shd w:val="clear" w:color="auto" w:fill="FFFFFF"/>
        <w:spacing w:after="120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4E61BE"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  <w:t>La tâche la plus difficile n'incombe pas au rapporteur mais au destinataire. Recevoir des idées ou entendre des évidences, c'est relativement facile. Passer à l'action ou à la correction, ça l'est souvent beaucoup moins.</w:t>
      </w:r>
    </w:p>
    <w:p w:rsidR="00FE4DCF" w:rsidRDefault="00FE4DCF"/>
    <w:sectPr w:rsidR="00FE4DCF" w:rsidSect="00FE4D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DF" w:rsidRDefault="00AB64DF" w:rsidP="001717C6">
      <w:pPr>
        <w:spacing w:after="0" w:line="240" w:lineRule="auto"/>
      </w:pPr>
      <w:r>
        <w:separator/>
      </w:r>
    </w:p>
  </w:endnote>
  <w:endnote w:type="continuationSeparator" w:id="0">
    <w:p w:rsidR="00AB64DF" w:rsidRDefault="00AB64DF" w:rsidP="0017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C6" w:rsidRDefault="001717C6">
    <w:pPr>
      <w:pStyle w:val="Pieddepage"/>
    </w:pPr>
    <w:r>
      <w:t>N. BENMOUSSA</w:t>
    </w:r>
  </w:p>
  <w:p w:rsidR="001717C6" w:rsidRDefault="001717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DF" w:rsidRDefault="00AB64DF" w:rsidP="001717C6">
      <w:pPr>
        <w:spacing w:after="0" w:line="240" w:lineRule="auto"/>
      </w:pPr>
      <w:r>
        <w:separator/>
      </w:r>
    </w:p>
  </w:footnote>
  <w:footnote w:type="continuationSeparator" w:id="0">
    <w:p w:rsidR="00AB64DF" w:rsidRDefault="00AB64DF" w:rsidP="0017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165C"/>
    <w:multiLevelType w:val="multilevel"/>
    <w:tmpl w:val="FB5A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1583E"/>
    <w:multiLevelType w:val="multilevel"/>
    <w:tmpl w:val="FA72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146BC"/>
    <w:multiLevelType w:val="multilevel"/>
    <w:tmpl w:val="CD38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E"/>
    <w:rsid w:val="000A2FC9"/>
    <w:rsid w:val="001717C6"/>
    <w:rsid w:val="004366BE"/>
    <w:rsid w:val="004E61BE"/>
    <w:rsid w:val="007442BF"/>
    <w:rsid w:val="009F7EA6"/>
    <w:rsid w:val="00AB64DF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2">
    <w:name w:val="heading 2"/>
    <w:basedOn w:val="Normal"/>
    <w:link w:val="Titre2Car"/>
    <w:uiPriority w:val="9"/>
    <w:qFormat/>
    <w:rsid w:val="004E6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61B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E61BE"/>
  </w:style>
  <w:style w:type="character" w:styleId="lev">
    <w:name w:val="Strong"/>
    <w:basedOn w:val="Policepardfaut"/>
    <w:uiPriority w:val="22"/>
    <w:qFormat/>
    <w:rsid w:val="004E61BE"/>
    <w:rPr>
      <w:b/>
      <w:bCs/>
    </w:rPr>
  </w:style>
  <w:style w:type="paragraph" w:customStyle="1" w:styleId="rteleft">
    <w:name w:val="rteleft"/>
    <w:basedOn w:val="Normal"/>
    <w:rsid w:val="004E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E61B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1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7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17C6"/>
  </w:style>
  <w:style w:type="paragraph" w:styleId="Pieddepage">
    <w:name w:val="footer"/>
    <w:basedOn w:val="Normal"/>
    <w:link w:val="PieddepageCar"/>
    <w:uiPriority w:val="99"/>
    <w:unhideWhenUsed/>
    <w:rsid w:val="0017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2012-10-17T21:58:00Z</dcterms:created>
  <dcterms:modified xsi:type="dcterms:W3CDTF">2012-10-17T21:58:00Z</dcterms:modified>
</cp:coreProperties>
</file>