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E4DCF" w:rsidRPr="00806DDF" w:rsidRDefault="00FE4DCF" w:rsidP="00651908">
      <w:pPr>
        <w:spacing w:after="0" w:line="240" w:lineRule="auto"/>
        <w:jc w:val="center"/>
        <w:rPr>
          <w:rFonts w:ascii="Times New Roman" w:hAnsi="Times New Roman" w:cs="Times New Roman"/>
          <w:b/>
          <w:sz w:val="28"/>
          <w:szCs w:val="28"/>
          <w:u w:val="single"/>
        </w:rPr>
      </w:pPr>
    </w:p>
    <w:p w:rsidR="00AD5740" w:rsidRPr="00806DDF" w:rsidRDefault="00AD5740" w:rsidP="00AD5740">
      <w:pPr>
        <w:spacing w:after="0" w:line="240" w:lineRule="auto"/>
        <w:rPr>
          <w:rStyle w:val="apple-converted-space"/>
          <w:rFonts w:ascii="Times New Roman" w:hAnsi="Times New Roman" w:cs="Times New Roman"/>
          <w:color w:val="303030"/>
        </w:rPr>
      </w:pPr>
    </w:p>
    <w:p w:rsidR="00E85CE3" w:rsidRPr="00806DDF" w:rsidRDefault="00E85CE3" w:rsidP="00AD5740">
      <w:pPr>
        <w:spacing w:after="0" w:line="240" w:lineRule="auto"/>
        <w:rPr>
          <w:rStyle w:val="apple-converted-space"/>
          <w:rFonts w:ascii="Times New Roman" w:hAnsi="Times New Roman" w:cs="Times New Roman"/>
          <w:color w:val="303030"/>
        </w:rPr>
      </w:pPr>
    </w:p>
    <w:p w:rsidR="00E85CE3" w:rsidRPr="00806DDF" w:rsidRDefault="00E85CE3" w:rsidP="00E85CE3">
      <w:pPr>
        <w:spacing w:after="0" w:line="240" w:lineRule="auto"/>
        <w:rPr>
          <w:rFonts w:ascii="Times New Roman" w:hAnsi="Times New Roman" w:cs="Times New Roman"/>
          <w:color w:val="303030"/>
        </w:rPr>
      </w:pPr>
      <w:r w:rsidRPr="00806DDF">
        <w:rPr>
          <w:rFonts w:ascii="Times New Roman" w:hAnsi="Times New Roman" w:cs="Times New Roman"/>
          <w:b/>
          <w:color w:val="000000"/>
          <w:sz w:val="24"/>
          <w:szCs w:val="24"/>
          <w:u w:val="single"/>
        </w:rPr>
        <w:t>Objectif</w:t>
      </w:r>
      <w:r w:rsidRPr="00806DDF">
        <w:rPr>
          <w:rFonts w:ascii="Times New Roman" w:hAnsi="Times New Roman" w:cs="Times New Roman"/>
          <w:color w:val="000000"/>
          <w:sz w:val="24"/>
          <w:szCs w:val="24"/>
        </w:rPr>
        <w:t> :</w:t>
      </w:r>
      <w:r w:rsidRPr="00806DDF">
        <w:rPr>
          <w:rFonts w:ascii="Times New Roman" w:hAnsi="Times New Roman" w:cs="Times New Roman"/>
        </w:rPr>
        <w:t xml:space="preserve"> </w:t>
      </w:r>
      <w:r w:rsidRPr="00806DDF">
        <w:rPr>
          <w:rFonts w:ascii="Times New Roman" w:hAnsi="Times New Roman" w:cs="Times New Roman"/>
          <w:color w:val="303030"/>
        </w:rPr>
        <w:t xml:space="preserve">Le résultat du calcul du coût de la non-qualité permet à la direction de l'entreprise d'affecter des priorités aux programmes d'amélioration de la qualité. </w:t>
      </w:r>
    </w:p>
    <w:p w:rsidR="00E85CE3" w:rsidRPr="00806DDF" w:rsidRDefault="00E85CE3" w:rsidP="00AD5740">
      <w:pPr>
        <w:spacing w:after="0" w:line="240" w:lineRule="auto"/>
        <w:rPr>
          <w:rFonts w:ascii="Times New Roman" w:hAnsi="Times New Roman" w:cs="Times New Roman"/>
          <w:color w:val="303030"/>
        </w:rPr>
      </w:pPr>
    </w:p>
    <w:p w:rsidR="00AD5740" w:rsidRPr="00806DDF" w:rsidRDefault="00AD5740" w:rsidP="00AD5740">
      <w:pPr>
        <w:spacing w:after="0" w:line="240" w:lineRule="auto"/>
        <w:rPr>
          <w:rFonts w:ascii="Times New Roman" w:hAnsi="Times New Roman" w:cs="Times New Roman"/>
          <w:color w:val="303030"/>
        </w:rPr>
      </w:pPr>
    </w:p>
    <w:p w:rsidR="00AD5740" w:rsidRPr="00806DDF" w:rsidRDefault="00AD5740" w:rsidP="00AD5740">
      <w:pPr>
        <w:spacing w:after="0" w:line="240" w:lineRule="auto"/>
        <w:rPr>
          <w:rFonts w:ascii="Times New Roman" w:hAnsi="Times New Roman" w:cs="Times New Roman"/>
          <w:color w:val="303030"/>
        </w:rPr>
      </w:pPr>
      <w:r w:rsidRPr="00806DDF">
        <w:rPr>
          <w:rFonts w:ascii="Times New Roman" w:hAnsi="Times New Roman" w:cs="Times New Roman"/>
          <w:color w:val="303030"/>
        </w:rPr>
        <w:t xml:space="preserve">Le coût de la qualité comporte les mêmes éléments avec, en plus, le coût de la </w:t>
      </w:r>
    </w:p>
    <w:p w:rsidR="00AD5740" w:rsidRPr="00806DDF" w:rsidRDefault="00AD5740" w:rsidP="00AD5740">
      <w:pPr>
        <w:spacing w:after="0" w:line="240" w:lineRule="auto"/>
        <w:rPr>
          <w:rFonts w:ascii="Times New Roman" w:hAnsi="Times New Roman" w:cs="Times New Roman"/>
          <w:color w:val="303030"/>
        </w:rPr>
      </w:pPr>
      <w:proofErr w:type="gramStart"/>
      <w:r w:rsidRPr="00806DDF">
        <w:rPr>
          <w:rFonts w:ascii="Times New Roman" w:hAnsi="Times New Roman" w:cs="Times New Roman"/>
          <w:color w:val="303030"/>
        </w:rPr>
        <w:t>prévention</w:t>
      </w:r>
      <w:proofErr w:type="gramEnd"/>
      <w:r w:rsidRPr="00806DDF">
        <w:rPr>
          <w:rFonts w:ascii="Times New Roman" w:hAnsi="Times New Roman" w:cs="Times New Roman"/>
          <w:color w:val="303030"/>
        </w:rPr>
        <w:t xml:space="preserve"> des défaillances. </w:t>
      </w:r>
    </w:p>
    <w:p w:rsidR="00651908" w:rsidRPr="00806DDF" w:rsidRDefault="00651908" w:rsidP="00651908">
      <w:pPr>
        <w:spacing w:after="0" w:line="240" w:lineRule="auto"/>
        <w:rPr>
          <w:rFonts w:ascii="Times New Roman" w:hAnsi="Times New Roman" w:cs="Times New Roman"/>
          <w:b/>
        </w:rPr>
      </w:pPr>
    </w:p>
    <w:p w:rsidR="00AD5740" w:rsidRPr="00806DDF" w:rsidRDefault="008D1E99" w:rsidP="00AD5740">
      <w:pPr>
        <w:spacing w:after="0" w:line="240" w:lineRule="auto"/>
        <w:rPr>
          <w:rFonts w:ascii="Times New Roman" w:hAnsi="Times New Roman" w:cs="Times New Roman"/>
          <w:color w:val="303030"/>
        </w:rPr>
      </w:pPr>
      <w:r w:rsidRPr="00806DDF">
        <w:rPr>
          <w:rFonts w:ascii="Times New Roman" w:hAnsi="Times New Roman" w:cs="Times New Roman"/>
          <w:b/>
          <w:u w:val="single"/>
        </w:rPr>
        <w:t>Concept</w:t>
      </w:r>
      <w:r w:rsidR="00534D85" w:rsidRPr="00806DDF">
        <w:rPr>
          <w:rFonts w:ascii="Times New Roman" w:hAnsi="Times New Roman" w:cs="Times New Roman"/>
        </w:rPr>
        <w:t> :</w:t>
      </w:r>
      <w:r w:rsidR="000C6B47" w:rsidRPr="00806DDF">
        <w:rPr>
          <w:rFonts w:ascii="Times New Roman" w:hAnsi="Times New Roman" w:cs="Times New Roman"/>
          <w:color w:val="303030"/>
        </w:rPr>
        <w:t xml:space="preserve"> </w:t>
      </w:r>
      <w:r w:rsidR="00AD5740" w:rsidRPr="00806DDF">
        <w:rPr>
          <w:rFonts w:ascii="Times New Roman" w:hAnsi="Times New Roman" w:cs="Times New Roman"/>
          <w:color w:val="303030"/>
        </w:rPr>
        <w:t xml:space="preserve">Le calcul du coût de la non-qualité est une méthode comptable qui permet de localiser dans l'entreprise toutes les dépenses inutiles provoquées par les défaillances des produits et </w:t>
      </w:r>
    </w:p>
    <w:p w:rsidR="00AD5740" w:rsidRPr="00806DDF" w:rsidRDefault="00AD5740" w:rsidP="00AD5740">
      <w:pPr>
        <w:spacing w:after="0" w:line="240" w:lineRule="auto"/>
        <w:rPr>
          <w:rFonts w:ascii="Times New Roman" w:hAnsi="Times New Roman" w:cs="Times New Roman"/>
          <w:color w:val="303030"/>
        </w:rPr>
      </w:pPr>
      <w:proofErr w:type="gramStart"/>
      <w:r w:rsidRPr="00806DDF">
        <w:rPr>
          <w:rFonts w:ascii="Times New Roman" w:hAnsi="Times New Roman" w:cs="Times New Roman"/>
          <w:color w:val="303030"/>
        </w:rPr>
        <w:t>services</w:t>
      </w:r>
      <w:proofErr w:type="gramEnd"/>
      <w:r w:rsidRPr="00806DDF">
        <w:rPr>
          <w:rFonts w:ascii="Times New Roman" w:hAnsi="Times New Roman" w:cs="Times New Roman"/>
          <w:color w:val="303030"/>
        </w:rPr>
        <w:t xml:space="preserve">. </w:t>
      </w:r>
    </w:p>
    <w:p w:rsidR="00E85CE3" w:rsidRPr="00806DDF" w:rsidRDefault="00E85CE3" w:rsidP="00AD5740">
      <w:pPr>
        <w:spacing w:after="0" w:line="240" w:lineRule="auto"/>
        <w:rPr>
          <w:rFonts w:ascii="Times New Roman" w:hAnsi="Times New Roman" w:cs="Times New Roman"/>
          <w:color w:val="303030"/>
        </w:rPr>
      </w:pPr>
    </w:p>
    <w:p w:rsidR="00AD5740" w:rsidRPr="00806DDF" w:rsidRDefault="00AD5740" w:rsidP="00AD5740">
      <w:pPr>
        <w:spacing w:after="0" w:line="240" w:lineRule="auto"/>
        <w:rPr>
          <w:rFonts w:ascii="Times New Roman" w:hAnsi="Times New Roman" w:cs="Times New Roman"/>
          <w:color w:val="303030"/>
        </w:rPr>
      </w:pPr>
      <w:r w:rsidRPr="00806DDF">
        <w:rPr>
          <w:rFonts w:ascii="Times New Roman" w:hAnsi="Times New Roman" w:cs="Times New Roman"/>
          <w:b/>
          <w:color w:val="303030"/>
          <w:u w:val="single"/>
        </w:rPr>
        <w:t>Différents coûts de non-qualité</w:t>
      </w:r>
      <w:r w:rsidRPr="00806DDF">
        <w:rPr>
          <w:rFonts w:ascii="Times New Roman" w:hAnsi="Times New Roman" w:cs="Times New Roman"/>
          <w:color w:val="303030"/>
        </w:rPr>
        <w:t xml:space="preserve"> : Les données qui sont à l'origine de ces dépenses inutiles ne sont pas toujours fiables et ne représentent qu'une partie du manque à gagner.  </w:t>
      </w:r>
      <w:r w:rsidRPr="00806DDF">
        <w:rPr>
          <w:rFonts w:ascii="Times New Roman" w:hAnsi="Times New Roman" w:cs="Times New Roman"/>
          <w:b/>
          <w:color w:val="303030"/>
        </w:rPr>
        <w:t xml:space="preserve">Exemple </w:t>
      </w:r>
      <w:r w:rsidRPr="00806DDF">
        <w:rPr>
          <w:rFonts w:ascii="Times New Roman" w:hAnsi="Times New Roman" w:cs="Times New Roman"/>
          <w:color w:val="303030"/>
        </w:rPr>
        <w:t xml:space="preserve">: le fait de perdre des clients mécontents des services de l'entreprise est  généralement beaucoup plus grave que celui de remplacer des produits défectueux.  Les moyens de conception de fabrication et de distribution n'étant pas parfaits, cela engendre automatiquement des défauts sur le produit qui se traduiront par des pertes.  Ces pertes peuvent être quantifiables directement : </w:t>
      </w:r>
    </w:p>
    <w:p w:rsidR="00E85CE3" w:rsidRPr="00806DDF" w:rsidRDefault="00E85CE3" w:rsidP="00AD5740">
      <w:pPr>
        <w:spacing w:after="0" w:line="240" w:lineRule="auto"/>
        <w:rPr>
          <w:rFonts w:ascii="Times New Roman" w:hAnsi="Times New Roman" w:cs="Times New Roman"/>
          <w:color w:val="303030"/>
        </w:rPr>
      </w:pPr>
    </w:p>
    <w:tbl>
      <w:tblPr>
        <w:tblStyle w:val="Grilledutableau"/>
        <w:tblW w:w="0" w:type="auto"/>
        <w:tblLook w:val="04A0"/>
      </w:tblPr>
      <w:tblGrid>
        <w:gridCol w:w="4606"/>
        <w:gridCol w:w="4606"/>
      </w:tblGrid>
      <w:tr w:rsidR="00E85CE3" w:rsidRPr="00806DDF" w:rsidTr="00E85CE3">
        <w:tc>
          <w:tcPr>
            <w:tcW w:w="4606" w:type="dxa"/>
          </w:tcPr>
          <w:p w:rsidR="00E85CE3" w:rsidRPr="00806DDF" w:rsidRDefault="00E85CE3" w:rsidP="00E85CE3">
            <w:pPr>
              <w:jc w:val="center"/>
              <w:rPr>
                <w:rFonts w:ascii="Times New Roman" w:hAnsi="Times New Roman" w:cs="Times New Roman"/>
                <w:b/>
                <w:color w:val="303030"/>
              </w:rPr>
            </w:pPr>
            <w:r w:rsidRPr="00806DDF">
              <w:rPr>
                <w:rFonts w:ascii="Times New Roman" w:hAnsi="Times New Roman" w:cs="Times New Roman"/>
                <w:b/>
                <w:color w:val="303030"/>
              </w:rPr>
              <w:t>Anomalies internes</w:t>
            </w:r>
          </w:p>
          <w:p w:rsidR="00E85CE3" w:rsidRPr="00806DDF" w:rsidRDefault="00E85CE3" w:rsidP="00E85CE3">
            <w:pPr>
              <w:jc w:val="center"/>
              <w:rPr>
                <w:rFonts w:ascii="Times New Roman" w:hAnsi="Times New Roman" w:cs="Times New Roman"/>
                <w:b/>
                <w:color w:val="303030"/>
                <w:u w:val="single"/>
              </w:rPr>
            </w:pPr>
          </w:p>
        </w:tc>
        <w:tc>
          <w:tcPr>
            <w:tcW w:w="4606" w:type="dxa"/>
          </w:tcPr>
          <w:p w:rsidR="00E85CE3" w:rsidRPr="00806DDF" w:rsidRDefault="00E85CE3" w:rsidP="00E85CE3">
            <w:pPr>
              <w:jc w:val="center"/>
              <w:rPr>
                <w:rFonts w:ascii="Times New Roman" w:hAnsi="Times New Roman" w:cs="Times New Roman"/>
                <w:b/>
                <w:color w:val="303030"/>
              </w:rPr>
            </w:pPr>
            <w:r w:rsidRPr="00806DDF">
              <w:rPr>
                <w:rFonts w:ascii="Times New Roman" w:hAnsi="Times New Roman" w:cs="Times New Roman"/>
                <w:b/>
                <w:color w:val="303030"/>
              </w:rPr>
              <w:t>Anomalies externes</w:t>
            </w:r>
          </w:p>
        </w:tc>
      </w:tr>
      <w:tr w:rsidR="00E85CE3" w:rsidRPr="00806DDF" w:rsidTr="00E85CE3">
        <w:tc>
          <w:tcPr>
            <w:tcW w:w="4606" w:type="dxa"/>
          </w:tcPr>
          <w:p w:rsidR="00E85CE3" w:rsidRPr="00806DDF" w:rsidRDefault="00E85CE3" w:rsidP="00E85CE3">
            <w:pPr>
              <w:rPr>
                <w:rFonts w:ascii="Times New Roman" w:hAnsi="Times New Roman" w:cs="Times New Roman"/>
                <w:b/>
                <w:color w:val="303030"/>
                <w:u w:val="single"/>
              </w:rPr>
            </w:pP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Rebuts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Retouches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Réparations – réfections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Déclassement sur produit fini ou en cours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Pertes dues aux achats inemployables </w:t>
            </w:r>
          </w:p>
          <w:p w:rsidR="00E85CE3" w:rsidRPr="00806DDF" w:rsidRDefault="00E85CE3" w:rsidP="00E85CE3">
            <w:pPr>
              <w:rPr>
                <w:rFonts w:ascii="Times New Roman" w:hAnsi="Times New Roman" w:cs="Times New Roman"/>
                <w:color w:val="303030"/>
              </w:rPr>
            </w:pP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w:t>
            </w:r>
            <w:r w:rsidRPr="00806DDF">
              <w:rPr>
                <w:rFonts w:ascii="Times New Roman" w:hAnsi="Times New Roman" w:cs="Times New Roman"/>
                <w:b/>
                <w:color w:val="303030"/>
                <w:u w:val="single"/>
              </w:rPr>
              <w:t>Autres coûts internes</w:t>
            </w:r>
            <w:r w:rsidRPr="00806DDF">
              <w:rPr>
                <w:rFonts w:ascii="Times New Roman" w:hAnsi="Times New Roman" w:cs="Times New Roman"/>
                <w:color w:val="303030"/>
              </w:rPr>
              <w:t>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Pollution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Accidents de travail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Absentéisme                   </w:t>
            </w:r>
          </w:p>
          <w:p w:rsidR="00E85CE3" w:rsidRPr="00806DDF" w:rsidRDefault="00E85CE3" w:rsidP="00AD5740">
            <w:pPr>
              <w:rPr>
                <w:rFonts w:ascii="Times New Roman" w:hAnsi="Times New Roman" w:cs="Times New Roman"/>
                <w:b/>
                <w:color w:val="303030"/>
                <w:u w:val="single"/>
              </w:rPr>
            </w:pPr>
          </w:p>
        </w:tc>
        <w:tc>
          <w:tcPr>
            <w:tcW w:w="4606" w:type="dxa"/>
          </w:tcPr>
          <w:p w:rsidR="00E85CE3" w:rsidRPr="00806DDF" w:rsidRDefault="00E85CE3" w:rsidP="00E85CE3">
            <w:pPr>
              <w:rPr>
                <w:rFonts w:ascii="Times New Roman" w:hAnsi="Times New Roman" w:cs="Times New Roman"/>
                <w:b/>
                <w:color w:val="303030"/>
                <w:u w:val="single"/>
              </w:rPr>
            </w:pP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Réclamation clients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Coût de garantie (SAV) </w:t>
            </w:r>
          </w:p>
          <w:p w:rsidR="00E85CE3" w:rsidRPr="00806DDF" w:rsidRDefault="00E85CE3" w:rsidP="00E85CE3">
            <w:pPr>
              <w:rPr>
                <w:rFonts w:ascii="Times New Roman" w:hAnsi="Times New Roman" w:cs="Times New Roman"/>
                <w:color w:val="303030"/>
              </w:rPr>
            </w:pPr>
          </w:p>
          <w:p w:rsidR="00E85CE3" w:rsidRPr="00806DDF" w:rsidRDefault="00E85CE3" w:rsidP="00E85CE3">
            <w:pPr>
              <w:rPr>
                <w:rFonts w:ascii="Times New Roman" w:hAnsi="Times New Roman" w:cs="Times New Roman"/>
                <w:b/>
                <w:color w:val="303030"/>
                <w:u w:val="single"/>
              </w:rPr>
            </w:pPr>
            <w:r w:rsidRPr="00806DDF">
              <w:rPr>
                <w:rFonts w:ascii="Times New Roman" w:hAnsi="Times New Roman" w:cs="Times New Roman"/>
                <w:b/>
                <w:color w:val="303030"/>
                <w:u w:val="single"/>
              </w:rPr>
              <w:t xml:space="preserve">- Autres coûts externes : </w:t>
            </w:r>
          </w:p>
          <w:p w:rsidR="00E85CE3" w:rsidRPr="00806DDF" w:rsidRDefault="00E85CE3" w:rsidP="00E85CE3">
            <w:pPr>
              <w:rPr>
                <w:rFonts w:ascii="Times New Roman" w:hAnsi="Times New Roman" w:cs="Times New Roman"/>
                <w:b/>
                <w:color w:val="303030"/>
                <w:u w:val="single"/>
              </w:rPr>
            </w:pP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Pénalités de retard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xml:space="preserve">• Agios pour non respect des délais </w:t>
            </w:r>
          </w:p>
          <w:p w:rsidR="00E85CE3" w:rsidRPr="00806DDF" w:rsidRDefault="00E85CE3" w:rsidP="00E85CE3">
            <w:pPr>
              <w:rPr>
                <w:rFonts w:ascii="Times New Roman" w:hAnsi="Times New Roman" w:cs="Times New Roman"/>
                <w:color w:val="303030"/>
              </w:rPr>
            </w:pPr>
            <w:r w:rsidRPr="00806DDF">
              <w:rPr>
                <w:rFonts w:ascii="Times New Roman" w:hAnsi="Times New Roman" w:cs="Times New Roman"/>
                <w:color w:val="303030"/>
              </w:rPr>
              <w:t>• Perte de clientèle</w:t>
            </w:r>
          </w:p>
          <w:p w:rsidR="00E85CE3" w:rsidRPr="00806DDF" w:rsidRDefault="00E85CE3" w:rsidP="00AD5740">
            <w:pPr>
              <w:rPr>
                <w:rFonts w:ascii="Times New Roman" w:hAnsi="Times New Roman" w:cs="Times New Roman"/>
                <w:b/>
                <w:color w:val="303030"/>
                <w:u w:val="single"/>
              </w:rPr>
            </w:pPr>
          </w:p>
        </w:tc>
      </w:tr>
    </w:tbl>
    <w:p w:rsidR="002B0FC6" w:rsidRPr="00806DDF" w:rsidRDefault="002B0FC6" w:rsidP="00E85CE3">
      <w:pPr>
        <w:rPr>
          <w:rFonts w:ascii="Times New Roman" w:hAnsi="Times New Roman" w:cs="Times New Roman"/>
          <w:color w:val="000000"/>
          <w:sz w:val="24"/>
          <w:szCs w:val="24"/>
        </w:rPr>
      </w:pPr>
      <w:r w:rsidRPr="00806DDF">
        <w:rPr>
          <w:rFonts w:ascii="Times New Roman" w:hAnsi="Times New Roman" w:cs="Times New Roman"/>
          <w:b/>
          <w:color w:val="000000"/>
          <w:sz w:val="24"/>
          <w:szCs w:val="24"/>
          <w:u w:val="single"/>
        </w:rPr>
        <w:t>Calcul de la non-qualité</w:t>
      </w:r>
      <w:r w:rsidRPr="00806DDF">
        <w:rPr>
          <w:rFonts w:ascii="Times New Roman" w:hAnsi="Times New Roman" w:cs="Times New Roman"/>
          <w:color w:val="000000"/>
          <w:sz w:val="24"/>
          <w:szCs w:val="24"/>
        </w:rPr>
        <w:t> :</w:t>
      </w:r>
    </w:p>
    <w:p w:rsidR="002B0FC6" w:rsidRPr="00EF173C" w:rsidRDefault="002B0FC6" w:rsidP="00E85CE3">
      <w:pPr>
        <w:rPr>
          <w:rStyle w:val="postbody"/>
          <w:rFonts w:ascii="Times New Roman" w:hAnsi="Times New Roman" w:cs="Times New Roman"/>
          <w:color w:val="000000"/>
          <w:sz w:val="24"/>
          <w:szCs w:val="24"/>
        </w:rPr>
      </w:pPr>
      <w:r w:rsidRPr="00806DDF">
        <w:rPr>
          <w:rFonts w:ascii="Times New Roman" w:hAnsi="Times New Roman" w:cs="Times New Roman"/>
        </w:rPr>
        <w:t>Le Coûts de Non Qualité  (CNQ) =  Coût de prévention + Coût de détection + Coût de défaillance interne + Coût de défaillance externe + Coût du préjudice commercial</w:t>
      </w:r>
    </w:p>
    <w:p w:rsidR="002B0FC6" w:rsidRPr="00806DDF" w:rsidRDefault="00E85CE3" w:rsidP="00E85CE3">
      <w:pPr>
        <w:rPr>
          <w:rStyle w:val="postbody"/>
          <w:rFonts w:ascii="Times New Roman" w:hAnsi="Times New Roman" w:cs="Times New Roman"/>
          <w:sz w:val="24"/>
          <w:szCs w:val="24"/>
        </w:rPr>
      </w:pPr>
      <w:r w:rsidRPr="00806DDF">
        <w:rPr>
          <w:rStyle w:val="postbody"/>
          <w:rFonts w:ascii="Times New Roman" w:hAnsi="Times New Roman" w:cs="Times New Roman"/>
          <w:b/>
          <w:u w:val="single"/>
        </w:rPr>
        <w:t>Coût d'Obtention de la Qualité  (COQ)</w:t>
      </w:r>
      <w:r w:rsidR="002B0FC6" w:rsidRPr="00806DDF">
        <w:rPr>
          <w:rStyle w:val="postbody"/>
          <w:rFonts w:ascii="Times New Roman" w:hAnsi="Times New Roman" w:cs="Times New Roman"/>
          <w:b/>
          <w:u w:val="single"/>
        </w:rPr>
        <w:t> :</w:t>
      </w:r>
    </w:p>
    <w:p w:rsidR="00E85CE3" w:rsidRPr="00806DDF" w:rsidRDefault="002B0FC6" w:rsidP="00E85CE3">
      <w:pPr>
        <w:rPr>
          <w:rStyle w:val="postbody"/>
          <w:rFonts w:ascii="Times New Roman" w:hAnsi="Times New Roman" w:cs="Times New Roman"/>
          <w:sz w:val="24"/>
          <w:szCs w:val="24"/>
        </w:rPr>
      </w:pPr>
      <w:r w:rsidRPr="00806DDF">
        <w:rPr>
          <w:rStyle w:val="postbody"/>
          <w:rFonts w:ascii="Times New Roman" w:hAnsi="Times New Roman" w:cs="Times New Roman"/>
          <w:sz w:val="24"/>
          <w:szCs w:val="24"/>
        </w:rPr>
        <w:t xml:space="preserve">Le Coût d’Obtention de la Qualité (COQ)  </w:t>
      </w:r>
      <w:r w:rsidR="00E85CE3" w:rsidRPr="00806DDF">
        <w:rPr>
          <w:rStyle w:val="postbody"/>
          <w:rFonts w:ascii="Times New Roman" w:hAnsi="Times New Roman" w:cs="Times New Roman"/>
          <w:sz w:val="24"/>
          <w:szCs w:val="24"/>
        </w:rPr>
        <w:t xml:space="preserve">= </w:t>
      </w:r>
    </w:p>
    <w:p w:rsidR="002B0FC6" w:rsidRPr="00806DDF" w:rsidRDefault="002B0FC6" w:rsidP="002B0FC6">
      <w:pPr>
        <w:spacing w:after="0" w:line="240" w:lineRule="auto"/>
        <w:ind w:left="3540"/>
        <w:rPr>
          <w:rFonts w:ascii="Times New Roman" w:hAnsi="Times New Roman" w:cs="Times New Roman"/>
          <w:sz w:val="24"/>
          <w:szCs w:val="24"/>
        </w:rPr>
      </w:pPr>
      <w:r w:rsidRPr="00806DDF">
        <w:rPr>
          <w:rStyle w:val="postbody"/>
          <w:rFonts w:ascii="Times New Roman" w:hAnsi="Times New Roman" w:cs="Times New Roman"/>
          <w:sz w:val="24"/>
          <w:szCs w:val="24"/>
        </w:rPr>
        <w:t xml:space="preserve">          </w:t>
      </w:r>
      <w:r w:rsidR="00E85CE3" w:rsidRPr="00806DDF">
        <w:rPr>
          <w:rStyle w:val="postbody"/>
          <w:rFonts w:ascii="Times New Roman" w:hAnsi="Times New Roman" w:cs="Times New Roman"/>
          <w:sz w:val="24"/>
          <w:szCs w:val="24"/>
        </w:rPr>
        <w:t>coûts des anomalies internes </w:t>
      </w:r>
      <w:r w:rsidR="00E85CE3" w:rsidRPr="00806DDF">
        <w:rPr>
          <w:rStyle w:val="apple-converted-space"/>
          <w:rFonts w:ascii="Times New Roman" w:hAnsi="Times New Roman" w:cs="Times New Roman"/>
          <w:sz w:val="24"/>
          <w:szCs w:val="24"/>
        </w:rPr>
        <w:t> </w:t>
      </w:r>
      <w:r w:rsidR="00E85CE3" w:rsidRPr="00806DDF">
        <w:rPr>
          <w:rStyle w:val="postbody"/>
          <w:rFonts w:ascii="Times New Roman" w:hAnsi="Times New Roman" w:cs="Times New Roman"/>
          <w:b/>
          <w:bCs/>
          <w:color w:val="FF3333"/>
          <w:sz w:val="24"/>
          <w:szCs w:val="24"/>
        </w:rPr>
        <w:t>(NON QUALITE 1)</w:t>
      </w:r>
      <w:r w:rsidR="00E85CE3" w:rsidRPr="00806DDF">
        <w:rPr>
          <w:rFonts w:ascii="Times New Roman" w:hAnsi="Times New Roman" w:cs="Times New Roman"/>
          <w:sz w:val="24"/>
          <w:szCs w:val="24"/>
        </w:rPr>
        <w:br/>
      </w:r>
      <w:r w:rsidRPr="00806DDF">
        <w:rPr>
          <w:rStyle w:val="postbody"/>
          <w:rFonts w:ascii="Times New Roman" w:hAnsi="Times New Roman" w:cs="Times New Roman"/>
          <w:sz w:val="24"/>
          <w:szCs w:val="24"/>
        </w:rPr>
        <w:t xml:space="preserve">         </w:t>
      </w:r>
      <w:r w:rsidR="00E85CE3" w:rsidRPr="00806DDF">
        <w:rPr>
          <w:rStyle w:val="postbody"/>
          <w:rFonts w:ascii="Times New Roman" w:hAnsi="Times New Roman" w:cs="Times New Roman"/>
          <w:sz w:val="24"/>
          <w:szCs w:val="24"/>
        </w:rPr>
        <w:t xml:space="preserve">+coûts des anomalies </w:t>
      </w:r>
      <w:proofErr w:type="gramStart"/>
      <w:r w:rsidR="00E85CE3" w:rsidRPr="00806DDF">
        <w:rPr>
          <w:rStyle w:val="postbody"/>
          <w:rFonts w:ascii="Times New Roman" w:hAnsi="Times New Roman" w:cs="Times New Roman"/>
          <w:sz w:val="24"/>
          <w:szCs w:val="24"/>
        </w:rPr>
        <w:t>externes</w:t>
      </w:r>
      <w:r w:rsidR="00E85CE3" w:rsidRPr="00806DDF">
        <w:rPr>
          <w:rStyle w:val="postbody"/>
          <w:rFonts w:ascii="Times New Roman" w:hAnsi="Times New Roman" w:cs="Times New Roman"/>
          <w:b/>
          <w:bCs/>
          <w:color w:val="FF3333"/>
          <w:sz w:val="24"/>
          <w:szCs w:val="24"/>
        </w:rPr>
        <w:t>(</w:t>
      </w:r>
      <w:proofErr w:type="gramEnd"/>
      <w:r w:rsidR="00E85CE3" w:rsidRPr="00806DDF">
        <w:rPr>
          <w:rStyle w:val="postbody"/>
          <w:rFonts w:ascii="Times New Roman" w:hAnsi="Times New Roman" w:cs="Times New Roman"/>
          <w:b/>
          <w:bCs/>
          <w:color w:val="FF3333"/>
          <w:sz w:val="24"/>
          <w:szCs w:val="24"/>
        </w:rPr>
        <w:t>NON QUALITE2)</w:t>
      </w:r>
      <w:r w:rsidR="00E85CE3" w:rsidRPr="00806DDF">
        <w:rPr>
          <w:rStyle w:val="apple-converted-space"/>
          <w:rFonts w:ascii="Times New Roman" w:hAnsi="Times New Roman" w:cs="Times New Roman"/>
          <w:b/>
          <w:bCs/>
          <w:color w:val="FF3333"/>
          <w:sz w:val="24"/>
          <w:szCs w:val="24"/>
        </w:rPr>
        <w:t> </w:t>
      </w:r>
    </w:p>
    <w:p w:rsidR="00E85CE3" w:rsidRPr="00806DDF" w:rsidRDefault="002B0FC6" w:rsidP="002B0FC6">
      <w:pPr>
        <w:spacing w:after="0" w:line="240" w:lineRule="auto"/>
        <w:ind w:left="3540"/>
        <w:rPr>
          <w:rFonts w:ascii="Times New Roman" w:hAnsi="Times New Roman" w:cs="Times New Roman"/>
          <w:sz w:val="24"/>
          <w:szCs w:val="24"/>
        </w:rPr>
      </w:pPr>
      <w:r w:rsidRPr="00806DDF">
        <w:rPr>
          <w:rStyle w:val="postbody"/>
          <w:rFonts w:ascii="Times New Roman" w:hAnsi="Times New Roman" w:cs="Times New Roman"/>
          <w:sz w:val="24"/>
          <w:szCs w:val="24"/>
        </w:rPr>
        <w:t xml:space="preserve">        </w:t>
      </w:r>
      <w:r w:rsidR="00E85CE3" w:rsidRPr="00806DDF">
        <w:rPr>
          <w:rStyle w:val="postbody"/>
          <w:rFonts w:ascii="Times New Roman" w:hAnsi="Times New Roman" w:cs="Times New Roman"/>
          <w:sz w:val="24"/>
          <w:szCs w:val="24"/>
        </w:rPr>
        <w:t xml:space="preserve"> +coûts de détection +coûts de prévention.</w:t>
      </w:r>
    </w:p>
    <w:p w:rsidR="00E85CE3" w:rsidRPr="00806DDF" w:rsidRDefault="00E85CE3" w:rsidP="00E85CE3">
      <w:p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 xml:space="preserve">                                                         </w:t>
      </w:r>
    </w:p>
    <w:p w:rsidR="00E85CE3" w:rsidRPr="00806DDF" w:rsidRDefault="00E85CE3" w:rsidP="00E85CE3">
      <w:pPr>
        <w:numPr>
          <w:ilvl w:val="0"/>
          <w:numId w:val="20"/>
        </w:num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Coût de prévention : Coût de formation du personnel, Coût des actions de maintenance permettant d'assurer la stabilité du processus de fabrication, Coût des actions d'amélioration (ex : mise en place de détrompeurs).</w:t>
      </w:r>
    </w:p>
    <w:p w:rsidR="00E85CE3" w:rsidRPr="00806DDF" w:rsidRDefault="00E85CE3" w:rsidP="00E85CE3">
      <w:pPr>
        <w:numPr>
          <w:ilvl w:val="0"/>
          <w:numId w:val="20"/>
        </w:num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lastRenderedPageBreak/>
        <w:t>Coût de détection : Coût des dispositifs de contrôles (c</w:t>
      </w:r>
      <w:r w:rsidR="00806DDF" w:rsidRPr="00806DDF">
        <w:rPr>
          <w:rFonts w:ascii="Times New Roman" w:hAnsi="Times New Roman" w:cs="Times New Roman"/>
          <w:color w:val="000000"/>
          <w:sz w:val="24"/>
          <w:szCs w:val="24"/>
        </w:rPr>
        <w:t>oût de leur entretien/</w:t>
      </w:r>
      <w:r w:rsidRPr="00806DDF">
        <w:rPr>
          <w:rFonts w:ascii="Times New Roman" w:hAnsi="Times New Roman" w:cs="Times New Roman"/>
          <w:color w:val="000000"/>
          <w:sz w:val="24"/>
          <w:szCs w:val="24"/>
        </w:rPr>
        <w:t>gestion).</w:t>
      </w:r>
    </w:p>
    <w:p w:rsidR="00E85CE3" w:rsidRPr="00806DDF" w:rsidRDefault="00E85CE3" w:rsidP="00E85CE3">
      <w:pPr>
        <w:numPr>
          <w:ilvl w:val="0"/>
          <w:numId w:val="20"/>
        </w:num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Coût de défaillance interne : Manque à gagner dû à la production des non-conformités (Coût des re</w:t>
      </w:r>
      <w:r w:rsidR="00806DDF" w:rsidRPr="00806DDF">
        <w:rPr>
          <w:rFonts w:ascii="Times New Roman" w:hAnsi="Times New Roman" w:cs="Times New Roman"/>
          <w:color w:val="000000"/>
          <w:sz w:val="24"/>
          <w:szCs w:val="24"/>
        </w:rPr>
        <w:t>touches/rebuts/</w:t>
      </w:r>
      <w:r w:rsidRPr="00806DDF">
        <w:rPr>
          <w:rFonts w:ascii="Times New Roman" w:hAnsi="Times New Roman" w:cs="Times New Roman"/>
          <w:color w:val="000000"/>
          <w:sz w:val="24"/>
          <w:szCs w:val="24"/>
        </w:rPr>
        <w:t>activité</w:t>
      </w:r>
      <w:r w:rsidR="00806DDF" w:rsidRPr="00806DDF">
        <w:rPr>
          <w:rFonts w:ascii="Times New Roman" w:hAnsi="Times New Roman" w:cs="Times New Roman"/>
          <w:color w:val="000000"/>
          <w:sz w:val="24"/>
          <w:szCs w:val="24"/>
        </w:rPr>
        <w:t>s humaines supplémentaires/</w:t>
      </w:r>
      <w:r w:rsidRPr="00806DDF">
        <w:rPr>
          <w:rFonts w:ascii="Times New Roman" w:hAnsi="Times New Roman" w:cs="Times New Roman"/>
          <w:color w:val="000000"/>
          <w:sz w:val="24"/>
          <w:szCs w:val="24"/>
        </w:rPr>
        <w:t>consommations de produits supplémentaires</w:t>
      </w:r>
      <w:r w:rsidR="00806DDF" w:rsidRPr="00806DDF">
        <w:rPr>
          <w:rFonts w:ascii="Times New Roman" w:hAnsi="Times New Roman" w:cs="Times New Roman"/>
          <w:color w:val="000000"/>
          <w:sz w:val="24"/>
          <w:szCs w:val="24"/>
        </w:rPr>
        <w:t>)</w:t>
      </w:r>
      <w:r w:rsidRPr="00806DDF">
        <w:rPr>
          <w:rFonts w:ascii="Times New Roman" w:hAnsi="Times New Roman" w:cs="Times New Roman"/>
          <w:color w:val="000000"/>
          <w:sz w:val="24"/>
          <w:szCs w:val="24"/>
        </w:rPr>
        <w:t>.</w:t>
      </w:r>
    </w:p>
    <w:p w:rsidR="00E85CE3" w:rsidRPr="00806DDF" w:rsidRDefault="00E85CE3" w:rsidP="00E85CE3">
      <w:pPr>
        <w:numPr>
          <w:ilvl w:val="0"/>
          <w:numId w:val="20"/>
        </w:num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Coût de défaillance externe : Coût</w:t>
      </w:r>
      <w:r w:rsidR="00806DDF" w:rsidRPr="00806DDF">
        <w:rPr>
          <w:rFonts w:ascii="Times New Roman" w:hAnsi="Times New Roman" w:cs="Times New Roman"/>
          <w:color w:val="000000"/>
          <w:sz w:val="24"/>
          <w:szCs w:val="24"/>
        </w:rPr>
        <w:t xml:space="preserve"> des retards de livraison, </w:t>
      </w:r>
      <w:r w:rsidRPr="00806DDF">
        <w:rPr>
          <w:rFonts w:ascii="Times New Roman" w:hAnsi="Times New Roman" w:cs="Times New Roman"/>
          <w:color w:val="000000"/>
          <w:sz w:val="24"/>
          <w:szCs w:val="24"/>
        </w:rPr>
        <w:t>de gestion litiges avec le client. Coûts logistiques d'acheminement ou de stockage du produit de remplacement</w:t>
      </w:r>
    </w:p>
    <w:p w:rsidR="00806DDF" w:rsidRPr="00806DDF" w:rsidRDefault="00E85CE3" w:rsidP="00806DDF">
      <w:pPr>
        <w:numPr>
          <w:ilvl w:val="0"/>
          <w:numId w:val="20"/>
        </w:num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Coût du préjudice commercial : Coût de dégradation de l'image de l'entreprise, coût de la perte de clients.</w:t>
      </w:r>
    </w:p>
    <w:p w:rsidR="00806DDF" w:rsidRPr="00806DDF" w:rsidRDefault="00806DDF" w:rsidP="00806DDF">
      <w:pPr>
        <w:spacing w:after="0" w:line="240" w:lineRule="auto"/>
        <w:rPr>
          <w:rFonts w:ascii="Times New Roman" w:hAnsi="Times New Roman" w:cs="Times New Roman"/>
          <w:color w:val="000000"/>
          <w:sz w:val="24"/>
          <w:szCs w:val="24"/>
        </w:rPr>
      </w:pPr>
    </w:p>
    <w:p w:rsidR="00806DDF" w:rsidRPr="00806DDF" w:rsidRDefault="00806DDF" w:rsidP="00806DDF">
      <w:pPr>
        <w:spacing w:after="0" w:line="240" w:lineRule="auto"/>
        <w:rPr>
          <w:rFonts w:ascii="Times New Roman" w:hAnsi="Times New Roman" w:cs="Times New Roman"/>
          <w:b/>
          <w:color w:val="000000"/>
        </w:rPr>
      </w:pPr>
      <w:r w:rsidRPr="00806DDF">
        <w:rPr>
          <w:rFonts w:ascii="Times New Roman" w:hAnsi="Times New Roman" w:cs="Times New Roman"/>
          <w:b/>
          <w:color w:val="000000"/>
        </w:rPr>
        <w:t>Coût des anomalies internes :</w:t>
      </w:r>
    </w:p>
    <w:p w:rsidR="00806DDF" w:rsidRPr="00806DDF" w:rsidRDefault="00806DDF" w:rsidP="00806DDF">
      <w:p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 xml:space="preserve">Frais encourus lorsque le produit ne satisfait pas aux exigences de qualité avant d'avoir </w:t>
      </w:r>
    </w:p>
    <w:p w:rsidR="00806DDF" w:rsidRPr="00806DDF" w:rsidRDefault="00806DDF" w:rsidP="00806DDF">
      <w:pPr>
        <w:spacing w:after="0" w:line="240" w:lineRule="auto"/>
        <w:rPr>
          <w:rFonts w:ascii="Times New Roman" w:hAnsi="Times New Roman" w:cs="Times New Roman"/>
          <w:color w:val="000000"/>
          <w:sz w:val="24"/>
          <w:szCs w:val="24"/>
        </w:rPr>
      </w:pPr>
      <w:proofErr w:type="gramStart"/>
      <w:r w:rsidRPr="00806DDF">
        <w:rPr>
          <w:rFonts w:ascii="Times New Roman" w:hAnsi="Times New Roman" w:cs="Times New Roman"/>
          <w:color w:val="000000"/>
          <w:sz w:val="24"/>
          <w:szCs w:val="24"/>
        </w:rPr>
        <w:t>quitté</w:t>
      </w:r>
      <w:proofErr w:type="gramEnd"/>
      <w:r w:rsidRPr="00806DDF">
        <w:rPr>
          <w:rFonts w:ascii="Times New Roman" w:hAnsi="Times New Roman" w:cs="Times New Roman"/>
          <w:color w:val="000000"/>
          <w:sz w:val="24"/>
          <w:szCs w:val="24"/>
        </w:rPr>
        <w:t xml:space="preserve"> l'entreprise. </w:t>
      </w:r>
    </w:p>
    <w:p w:rsidR="00806DDF" w:rsidRPr="00806DDF" w:rsidRDefault="00806DDF" w:rsidP="00806DDF">
      <w:pPr>
        <w:spacing w:after="0" w:line="240" w:lineRule="auto"/>
        <w:rPr>
          <w:rFonts w:ascii="Times New Roman" w:hAnsi="Times New Roman" w:cs="Times New Roman"/>
          <w:color w:val="000000"/>
          <w:sz w:val="24"/>
          <w:szCs w:val="24"/>
        </w:rPr>
      </w:pPr>
      <w:r w:rsidRPr="00806DDF">
        <w:rPr>
          <w:rFonts w:ascii="Times New Roman" w:hAnsi="Times New Roman" w:cs="Times New Roman"/>
          <w:b/>
          <w:color w:val="000000"/>
          <w:sz w:val="24"/>
          <w:szCs w:val="24"/>
        </w:rPr>
        <w:t>Coûts des anomalies externes</w:t>
      </w:r>
      <w:r w:rsidRPr="00806DDF">
        <w:rPr>
          <w:rFonts w:ascii="Times New Roman" w:hAnsi="Times New Roman" w:cs="Times New Roman"/>
          <w:color w:val="000000"/>
          <w:sz w:val="24"/>
          <w:szCs w:val="24"/>
        </w:rPr>
        <w:t xml:space="preserve"> : Frais encourus lorsque le produit ne répond pas aux exigences de qualité après avoir quitté </w:t>
      </w:r>
      <w:r>
        <w:rPr>
          <w:rFonts w:ascii="Times New Roman" w:hAnsi="Times New Roman" w:cs="Times New Roman"/>
          <w:color w:val="000000"/>
          <w:sz w:val="24"/>
          <w:szCs w:val="24"/>
        </w:rPr>
        <w:t>l'entreprise (</w:t>
      </w:r>
      <w:r w:rsidRPr="00806DDF">
        <w:rPr>
          <w:rFonts w:ascii="Times New Roman" w:hAnsi="Times New Roman" w:cs="Times New Roman"/>
          <w:color w:val="000000"/>
          <w:sz w:val="24"/>
          <w:szCs w:val="24"/>
        </w:rPr>
        <w:t xml:space="preserve">livraisons non-conformes) </w:t>
      </w:r>
    </w:p>
    <w:p w:rsidR="00806DDF" w:rsidRPr="00806DDF" w:rsidRDefault="00806DDF" w:rsidP="00806DDF">
      <w:pPr>
        <w:spacing w:after="0" w:line="240" w:lineRule="auto"/>
        <w:rPr>
          <w:rFonts w:ascii="Times New Roman" w:hAnsi="Times New Roman" w:cs="Times New Roman"/>
          <w:b/>
          <w:color w:val="000000"/>
          <w:sz w:val="24"/>
          <w:szCs w:val="24"/>
        </w:rPr>
      </w:pPr>
      <w:r w:rsidRPr="00806DDF">
        <w:rPr>
          <w:rFonts w:ascii="Times New Roman" w:hAnsi="Times New Roman" w:cs="Times New Roman"/>
          <w:b/>
          <w:color w:val="000000"/>
          <w:sz w:val="24"/>
          <w:szCs w:val="24"/>
        </w:rPr>
        <w:t>Coût de détection ou d'évaluation :</w:t>
      </w:r>
    </w:p>
    <w:p w:rsidR="00806DDF" w:rsidRPr="00806DDF" w:rsidRDefault="00806DDF" w:rsidP="00806DDF">
      <w:p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 xml:space="preserve">Dépenses engagées pour vérifier la conformité aux exigences de qualité, </w:t>
      </w:r>
      <w:proofErr w:type="gramStart"/>
      <w:r w:rsidRPr="00806DDF">
        <w:rPr>
          <w:rFonts w:ascii="Times New Roman" w:hAnsi="Times New Roman" w:cs="Times New Roman"/>
          <w:color w:val="000000"/>
          <w:sz w:val="24"/>
          <w:szCs w:val="24"/>
        </w:rPr>
        <w:t>financer</w:t>
      </w:r>
      <w:proofErr w:type="gramEnd"/>
      <w:r w:rsidRPr="00806DDF">
        <w:rPr>
          <w:rFonts w:ascii="Times New Roman" w:hAnsi="Times New Roman" w:cs="Times New Roman"/>
          <w:color w:val="000000"/>
          <w:sz w:val="24"/>
          <w:szCs w:val="24"/>
        </w:rPr>
        <w:t xml:space="preserve"> la </w:t>
      </w:r>
    </w:p>
    <w:p w:rsidR="00806DDF" w:rsidRPr="00806DDF" w:rsidRDefault="00806DDF" w:rsidP="00806DDF">
      <w:pPr>
        <w:spacing w:after="0" w:line="240" w:lineRule="auto"/>
        <w:rPr>
          <w:rFonts w:ascii="Times New Roman" w:hAnsi="Times New Roman" w:cs="Times New Roman"/>
          <w:color w:val="000000"/>
          <w:sz w:val="24"/>
          <w:szCs w:val="24"/>
        </w:rPr>
      </w:pPr>
      <w:proofErr w:type="gramStart"/>
      <w:r w:rsidRPr="00806DDF">
        <w:rPr>
          <w:rFonts w:ascii="Times New Roman" w:hAnsi="Times New Roman" w:cs="Times New Roman"/>
          <w:color w:val="000000"/>
          <w:sz w:val="24"/>
          <w:szCs w:val="24"/>
        </w:rPr>
        <w:t>recherche</w:t>
      </w:r>
      <w:proofErr w:type="gramEnd"/>
      <w:r w:rsidRPr="00806DDF">
        <w:rPr>
          <w:rFonts w:ascii="Times New Roman" w:hAnsi="Times New Roman" w:cs="Times New Roman"/>
          <w:color w:val="000000"/>
          <w:sz w:val="24"/>
          <w:szCs w:val="24"/>
        </w:rPr>
        <w:t xml:space="preserve"> des anomalies (Contrôle, vérification, mesure) </w:t>
      </w:r>
    </w:p>
    <w:p w:rsidR="00806DDF" w:rsidRPr="00806DDF" w:rsidRDefault="00806DDF" w:rsidP="00806DDF">
      <w:pPr>
        <w:spacing w:after="0" w:line="240" w:lineRule="auto"/>
        <w:rPr>
          <w:rFonts w:ascii="Times New Roman" w:hAnsi="Times New Roman" w:cs="Times New Roman"/>
          <w:b/>
          <w:color w:val="000000"/>
          <w:sz w:val="24"/>
          <w:szCs w:val="24"/>
        </w:rPr>
      </w:pPr>
      <w:r w:rsidRPr="00806DDF">
        <w:rPr>
          <w:rFonts w:ascii="Times New Roman" w:hAnsi="Times New Roman" w:cs="Times New Roman"/>
          <w:b/>
          <w:color w:val="000000"/>
          <w:sz w:val="24"/>
          <w:szCs w:val="24"/>
        </w:rPr>
        <w:t>Coût de prévention :</w:t>
      </w:r>
    </w:p>
    <w:p w:rsidR="00806DDF" w:rsidRPr="00806DDF" w:rsidRDefault="00806DDF" w:rsidP="00806DDF">
      <w:pPr>
        <w:spacing w:after="0" w:line="240" w:lineRule="auto"/>
        <w:rPr>
          <w:rFonts w:ascii="Times New Roman" w:hAnsi="Times New Roman" w:cs="Times New Roman"/>
          <w:color w:val="000000"/>
          <w:sz w:val="24"/>
          <w:szCs w:val="24"/>
        </w:rPr>
      </w:pPr>
      <w:r w:rsidRPr="00806DDF">
        <w:rPr>
          <w:rFonts w:ascii="Times New Roman" w:hAnsi="Times New Roman" w:cs="Times New Roman"/>
          <w:color w:val="000000"/>
          <w:sz w:val="24"/>
          <w:szCs w:val="24"/>
        </w:rPr>
        <w:t xml:space="preserve">Intègre les investissements humains, matériels (revues, études d'amélioration, formation, </w:t>
      </w:r>
    </w:p>
    <w:p w:rsidR="00806DDF" w:rsidRPr="00806DDF" w:rsidRDefault="00806DDF" w:rsidP="00806DDF">
      <w:pPr>
        <w:spacing w:after="0" w:line="240" w:lineRule="auto"/>
        <w:rPr>
          <w:rFonts w:ascii="Times New Roman" w:hAnsi="Times New Roman" w:cs="Times New Roman"/>
          <w:color w:val="000000"/>
          <w:sz w:val="24"/>
          <w:szCs w:val="24"/>
        </w:rPr>
      </w:pPr>
      <w:proofErr w:type="gramStart"/>
      <w:r w:rsidRPr="00806DDF">
        <w:rPr>
          <w:rFonts w:ascii="Times New Roman" w:hAnsi="Times New Roman" w:cs="Times New Roman"/>
          <w:color w:val="000000"/>
          <w:sz w:val="24"/>
          <w:szCs w:val="24"/>
        </w:rPr>
        <w:t>maintenance</w:t>
      </w:r>
      <w:proofErr w:type="gramEnd"/>
      <w:r w:rsidRPr="00806DDF">
        <w:rPr>
          <w:rFonts w:ascii="Times New Roman" w:hAnsi="Times New Roman" w:cs="Times New Roman"/>
          <w:color w:val="000000"/>
          <w:sz w:val="24"/>
          <w:szCs w:val="24"/>
        </w:rPr>
        <w:t xml:space="preserve"> …) pour vérifier la conformité des produits aux exigences de qualité. </w:t>
      </w:r>
    </w:p>
    <w:p w:rsidR="002B0FC6" w:rsidRPr="00806DDF" w:rsidRDefault="002B0FC6" w:rsidP="000343B6">
      <w:pPr>
        <w:spacing w:after="0" w:line="240" w:lineRule="auto"/>
        <w:rPr>
          <w:rFonts w:ascii="Times New Roman" w:hAnsi="Times New Roman" w:cs="Times New Roman"/>
          <w:b/>
          <w:color w:val="000000"/>
          <w:sz w:val="24"/>
          <w:szCs w:val="24"/>
          <w:u w:val="single"/>
        </w:rPr>
      </w:pPr>
    </w:p>
    <w:p w:rsidR="00EF173C" w:rsidRDefault="0017559A" w:rsidP="000343B6">
      <w:pPr>
        <w:spacing w:after="0" w:line="240" w:lineRule="auto"/>
        <w:rPr>
          <w:rFonts w:ascii="Times New Roman" w:hAnsi="Times New Roman" w:cs="Times New Roman"/>
          <w:color w:val="303030"/>
        </w:rPr>
      </w:pPr>
      <w:r w:rsidRPr="00806DDF">
        <w:rPr>
          <w:rFonts w:ascii="Times New Roman" w:hAnsi="Times New Roman" w:cs="Times New Roman"/>
          <w:b/>
          <w:color w:val="000000"/>
          <w:sz w:val="24"/>
          <w:szCs w:val="24"/>
          <w:u w:val="single"/>
        </w:rPr>
        <w:t>Outils </w:t>
      </w:r>
      <w:r w:rsidRPr="00806DDF">
        <w:rPr>
          <w:rStyle w:val="apple-style-span"/>
          <w:rFonts w:ascii="Times New Roman" w:hAnsi="Times New Roman" w:cs="Times New Roman"/>
        </w:rPr>
        <w:t>:</w:t>
      </w:r>
      <w:r w:rsidRPr="00806DDF">
        <w:rPr>
          <w:rStyle w:val="apple-style-span"/>
          <w:rFonts w:ascii="Times New Roman" w:hAnsi="Times New Roman" w:cs="Times New Roman"/>
          <w:color w:val="303030"/>
        </w:rPr>
        <w:t xml:space="preserve"> </w:t>
      </w:r>
      <w:r w:rsidR="002B0FC6" w:rsidRPr="00806DDF">
        <w:rPr>
          <w:rFonts w:ascii="Times New Roman" w:hAnsi="Times New Roman" w:cs="Times New Roman"/>
          <w:color w:val="303030"/>
        </w:rPr>
        <w:t xml:space="preserve">Les chiffres qui permettent de calculer la non-qualité sont enregistrés dans </w:t>
      </w:r>
      <w:r w:rsidR="002B0FC6" w:rsidRPr="004F7C3D">
        <w:rPr>
          <w:rFonts w:ascii="Times New Roman" w:hAnsi="Times New Roman" w:cs="Times New Roman"/>
          <w:b/>
          <w:color w:val="303030"/>
        </w:rPr>
        <w:t>le grand livre comptable</w:t>
      </w:r>
      <w:r w:rsidR="002B0FC6" w:rsidRPr="00806DDF">
        <w:rPr>
          <w:rFonts w:ascii="Times New Roman" w:hAnsi="Times New Roman" w:cs="Times New Roman"/>
          <w:color w:val="303030"/>
        </w:rPr>
        <w:t> (principale source d'information)</w:t>
      </w:r>
      <w:r w:rsidR="00806DDF" w:rsidRPr="00806DDF">
        <w:rPr>
          <w:rFonts w:ascii="Times New Roman" w:hAnsi="Times New Roman" w:cs="Times New Roman"/>
          <w:color w:val="303030"/>
        </w:rPr>
        <w:t xml:space="preserve"> qui est disponible auprès du service de comptabilité</w:t>
      </w:r>
      <w:r w:rsidR="002B0FC6" w:rsidRPr="00806DDF">
        <w:rPr>
          <w:rFonts w:ascii="Times New Roman" w:hAnsi="Times New Roman" w:cs="Times New Roman"/>
          <w:color w:val="303030"/>
        </w:rPr>
        <w:t>. Il est constitué de l'ensemble des comptes utilisés par l'entreprise lors de l'enregistrement des opérations au journal. Il effectue des regroupements d'opération de même nature afin de les analyser. </w:t>
      </w:r>
      <w:r w:rsidR="002B0FC6" w:rsidRPr="00806DDF">
        <w:rPr>
          <w:rFonts w:ascii="Times New Roman" w:hAnsi="Times New Roman" w:cs="Times New Roman"/>
          <w:color w:val="303030"/>
        </w:rPr>
        <w:br/>
        <w:t xml:space="preserve">Le grand livre comptable doit permettre de trouver l'ensemble des informations permettant de dresser la liste des coûts de non qualité. Les coûts de non qualité peuvent être combinés avec d'autres coûts. D'une manière générale, seule les comptes de la classe 6 dits de "charges" seront utiles pour trouver les coûts concernant </w:t>
      </w:r>
      <w:proofErr w:type="gramStart"/>
      <w:r w:rsidR="002B0FC6" w:rsidRPr="00806DDF">
        <w:rPr>
          <w:rFonts w:ascii="Times New Roman" w:hAnsi="Times New Roman" w:cs="Times New Roman"/>
          <w:color w:val="303030"/>
        </w:rPr>
        <w:t>la</w:t>
      </w:r>
      <w:proofErr w:type="gramEnd"/>
      <w:r w:rsidR="002B0FC6" w:rsidRPr="00806DDF">
        <w:rPr>
          <w:rFonts w:ascii="Times New Roman" w:hAnsi="Times New Roman" w:cs="Times New Roman"/>
          <w:color w:val="303030"/>
        </w:rPr>
        <w:t xml:space="preserve"> non qu</w:t>
      </w:r>
      <w:r w:rsidR="00806DDF" w:rsidRPr="00806DDF">
        <w:rPr>
          <w:rFonts w:ascii="Times New Roman" w:hAnsi="Times New Roman" w:cs="Times New Roman"/>
          <w:color w:val="303030"/>
        </w:rPr>
        <w:t>alité. </w:t>
      </w:r>
      <w:r w:rsidR="00806DDF" w:rsidRPr="00806DDF">
        <w:rPr>
          <w:rFonts w:ascii="Times New Roman" w:hAnsi="Times New Roman" w:cs="Times New Roman"/>
          <w:color w:val="303030"/>
        </w:rPr>
        <w:br/>
      </w:r>
      <w:r w:rsidR="00806DDF" w:rsidRPr="00806DDF">
        <w:rPr>
          <w:rFonts w:ascii="Times New Roman" w:hAnsi="Times New Roman" w:cs="Times New Roman"/>
          <w:b/>
          <w:color w:val="303030"/>
          <w:u w:val="single"/>
        </w:rPr>
        <w:t>Exemple</w:t>
      </w:r>
      <w:r w:rsidR="00806DDF" w:rsidRPr="00806DDF">
        <w:rPr>
          <w:rFonts w:ascii="Times New Roman" w:hAnsi="Times New Roman" w:cs="Times New Roman"/>
          <w:color w:val="303030"/>
        </w:rPr>
        <w:t xml:space="preserve"> : </w:t>
      </w:r>
      <w:r w:rsidR="002B0FC6" w:rsidRPr="00806DDF">
        <w:rPr>
          <w:rFonts w:ascii="Times New Roman" w:hAnsi="Times New Roman" w:cs="Times New Roman"/>
          <w:color w:val="303030"/>
        </w:rPr>
        <w:t>les achats consommés (Matières premières et fournitures, Fournitures d'entretien, ...), les charges de personnel (rémunérations et charges de sécurité sociale). </w:t>
      </w:r>
      <w:r w:rsidR="002B0FC6" w:rsidRPr="00806DDF">
        <w:rPr>
          <w:rFonts w:ascii="Times New Roman" w:hAnsi="Times New Roman" w:cs="Times New Roman"/>
          <w:color w:val="303030"/>
        </w:rPr>
        <w:br/>
        <w:t>Ce livre est disponible auprès du service de comptabilité.</w:t>
      </w:r>
      <w:r w:rsidR="002B0FC6" w:rsidRPr="00806DDF">
        <w:rPr>
          <w:rFonts w:ascii="Times New Roman" w:hAnsi="Times New Roman" w:cs="Times New Roman"/>
          <w:color w:val="303030"/>
        </w:rPr>
        <w:br/>
      </w:r>
      <w:r w:rsidR="002B0FC6" w:rsidRPr="00806DDF">
        <w:rPr>
          <w:rFonts w:ascii="Times New Roman" w:hAnsi="Times New Roman" w:cs="Times New Roman"/>
          <w:color w:val="303030"/>
        </w:rPr>
        <w:br/>
      </w:r>
      <w:r w:rsidR="002B0FC6" w:rsidRPr="00EF173C">
        <w:rPr>
          <w:rFonts w:ascii="Times New Roman" w:hAnsi="Times New Roman" w:cs="Times New Roman"/>
          <w:b/>
          <w:color w:val="303030"/>
        </w:rPr>
        <w:t xml:space="preserve">Les rapports de </w:t>
      </w:r>
      <w:r w:rsidR="00EF173C" w:rsidRPr="00EF173C">
        <w:rPr>
          <w:rFonts w:ascii="Times New Roman" w:hAnsi="Times New Roman" w:cs="Times New Roman"/>
          <w:b/>
          <w:color w:val="303030"/>
        </w:rPr>
        <w:t>non-conformité</w:t>
      </w:r>
    </w:p>
    <w:p w:rsidR="0017559A" w:rsidRPr="00806DDF" w:rsidRDefault="002B0FC6" w:rsidP="000343B6">
      <w:pPr>
        <w:spacing w:after="0" w:line="240" w:lineRule="auto"/>
        <w:rPr>
          <w:rFonts w:ascii="Times New Roman" w:hAnsi="Times New Roman" w:cs="Times New Roman"/>
        </w:rPr>
      </w:pPr>
      <w:r w:rsidRPr="00806DDF">
        <w:rPr>
          <w:rFonts w:ascii="Times New Roman" w:hAnsi="Times New Roman" w:cs="Times New Roman"/>
          <w:color w:val="303030"/>
        </w:rPr>
        <w:br/>
        <w:t>Ces rapports précisent la nature du problème qualité, la quantité de pièces concernées et l'action corrective qu'il a été décidé de mener. On trouvera les actions correctives et les actions préventives.</w:t>
      </w:r>
      <w:r w:rsidRPr="00806DDF">
        <w:rPr>
          <w:rFonts w:ascii="Times New Roman" w:hAnsi="Times New Roman" w:cs="Times New Roman"/>
          <w:color w:val="303030"/>
        </w:rPr>
        <w:br/>
        <w:t>Le budget </w:t>
      </w:r>
      <w:r w:rsidRPr="00806DDF">
        <w:rPr>
          <w:rFonts w:ascii="Times New Roman" w:hAnsi="Times New Roman" w:cs="Times New Roman"/>
          <w:color w:val="303030"/>
        </w:rPr>
        <w:br/>
        <w:t>Il sera utile pour déterminer les coûts liés à la sollicitation des services administratifs. On trouvera l'ensemble des coûts liés à leur fonctionnement. </w:t>
      </w:r>
      <w:r w:rsidRPr="00806DDF">
        <w:rPr>
          <w:rFonts w:ascii="Times New Roman" w:hAnsi="Times New Roman" w:cs="Times New Roman"/>
          <w:color w:val="303030"/>
        </w:rPr>
        <w:br/>
        <w:t>Inventaire des équipements</w:t>
      </w:r>
      <w:r w:rsidRPr="00806DDF">
        <w:rPr>
          <w:rFonts w:ascii="Times New Roman" w:hAnsi="Times New Roman" w:cs="Times New Roman"/>
          <w:color w:val="303030"/>
        </w:rPr>
        <w:br/>
        <w:t>Utile pour évaluer le coût des moyens de mesure.</w:t>
      </w:r>
      <w:r w:rsidRPr="00806DDF">
        <w:rPr>
          <w:rFonts w:ascii="Times New Roman" w:hAnsi="Times New Roman" w:cs="Times New Roman"/>
          <w:color w:val="303030"/>
        </w:rPr>
        <w:br/>
        <w:t>Rapport du service après-vente</w:t>
      </w:r>
      <w:r w:rsidRPr="00806DDF">
        <w:rPr>
          <w:rFonts w:ascii="Times New Roman" w:hAnsi="Times New Roman" w:cs="Times New Roman"/>
          <w:color w:val="303030"/>
        </w:rPr>
        <w:br/>
        <w:t>Ce rapport doit permettre de comptabiliser les défaillances externes et leur coût.</w:t>
      </w:r>
      <w:r w:rsidRPr="00806DDF">
        <w:rPr>
          <w:rFonts w:ascii="Times New Roman" w:hAnsi="Times New Roman" w:cs="Times New Roman"/>
          <w:color w:val="303030"/>
        </w:rPr>
        <w:br/>
      </w:r>
    </w:p>
    <w:p w:rsidR="00447AA1" w:rsidRPr="00806DDF" w:rsidRDefault="00447AA1" w:rsidP="00651908">
      <w:pPr>
        <w:spacing w:after="0" w:line="240" w:lineRule="auto"/>
        <w:rPr>
          <w:rFonts w:ascii="Times New Roman" w:hAnsi="Times New Roman" w:cs="Times New Roman"/>
          <w:b/>
        </w:rPr>
      </w:pPr>
    </w:p>
    <w:p w:rsidR="00AD6CF5" w:rsidRPr="00806DDF" w:rsidRDefault="00AD6CF5" w:rsidP="00651908">
      <w:pPr>
        <w:spacing w:after="0" w:line="240" w:lineRule="auto"/>
        <w:rPr>
          <w:rFonts w:ascii="Times New Roman" w:hAnsi="Times New Roman" w:cs="Times New Roman"/>
        </w:rPr>
      </w:pPr>
    </w:p>
    <w:p w:rsidR="00AD6CF5" w:rsidRPr="00806DDF" w:rsidRDefault="00AD6CF5" w:rsidP="00651908">
      <w:pPr>
        <w:spacing w:after="0" w:line="240" w:lineRule="auto"/>
        <w:rPr>
          <w:rFonts w:ascii="Times New Roman" w:hAnsi="Times New Roman" w:cs="Times New Roman"/>
        </w:rPr>
      </w:pPr>
    </w:p>
    <w:p w:rsidR="00154A3B" w:rsidRPr="00806DDF" w:rsidRDefault="00154A3B" w:rsidP="00664833">
      <w:pPr>
        <w:spacing w:after="0" w:line="240" w:lineRule="auto"/>
        <w:rPr>
          <w:rFonts w:ascii="Times New Roman" w:hAnsi="Times New Roman" w:cs="Times New Roman"/>
        </w:rPr>
      </w:pPr>
    </w:p>
    <w:sectPr w:rsidR="00154A3B" w:rsidRPr="00806DDF" w:rsidSect="004E4C81">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82A" w:rsidRDefault="00E9082A" w:rsidP="00154A3B">
      <w:pPr>
        <w:spacing w:after="0" w:line="240" w:lineRule="auto"/>
      </w:pPr>
      <w:r>
        <w:separator/>
      </w:r>
    </w:p>
  </w:endnote>
  <w:endnote w:type="continuationSeparator" w:id="0">
    <w:p w:rsidR="00E9082A" w:rsidRDefault="00E9082A" w:rsidP="0015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Pr="00FD78D4" w:rsidRDefault="00FD78D4">
    <w:pPr>
      <w:pStyle w:val="Pieddepage"/>
      <w:rPr>
        <w:rFonts w:ascii="Times New Roman" w:hAnsi="Times New Roman" w:cs="Times New Roman"/>
        <w:b/>
        <w:sz w:val="24"/>
        <w:szCs w:val="24"/>
      </w:rPr>
    </w:pPr>
    <w:proofErr w:type="spellStart"/>
    <w:r w:rsidRPr="00FD78D4">
      <w:rPr>
        <w:rFonts w:ascii="Times New Roman" w:hAnsi="Times New Roman" w:cs="Times New Roman"/>
        <w:b/>
        <w:sz w:val="24"/>
        <w:szCs w:val="24"/>
      </w:rPr>
      <w:t>Nezha</w:t>
    </w:r>
    <w:proofErr w:type="spellEnd"/>
    <w:r w:rsidRPr="00FD78D4">
      <w:rPr>
        <w:rFonts w:ascii="Times New Roman" w:hAnsi="Times New Roman" w:cs="Times New Roman"/>
        <w:b/>
        <w:sz w:val="24"/>
        <w:szCs w:val="24"/>
      </w:rPr>
      <w:t xml:space="preserve"> BENMOUSSA                    </w:t>
    </w:r>
    <w:r w:rsidRPr="00FD78D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8D4">
      <w:rPr>
        <w:rFonts w:ascii="Times New Roman" w:hAnsi="Times New Roman" w:cs="Times New Roman"/>
        <w:b/>
        <w:sz w:val="24"/>
        <w:szCs w:val="24"/>
      </w:rPr>
      <w:t xml:space="preserve">                                                                    1Master ISIF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82A" w:rsidRDefault="00E9082A" w:rsidP="00154A3B">
      <w:pPr>
        <w:spacing w:after="0" w:line="240" w:lineRule="auto"/>
      </w:pPr>
      <w:r>
        <w:separator/>
      </w:r>
    </w:p>
  </w:footnote>
  <w:footnote w:type="continuationSeparator" w:id="0">
    <w:p w:rsidR="00E9082A" w:rsidRDefault="00E9082A" w:rsidP="0015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Default="00FD78D4">
    <w:pPr>
      <w:pStyle w:val="En-tte"/>
    </w:pPr>
    <w:r w:rsidRPr="00FD78D4">
      <w:rPr>
        <w:noProof/>
        <w:lang w:eastAsia="fr-FR"/>
      </w:rPr>
      <w:drawing>
        <wp:inline distT="0" distB="0" distL="0" distR="0">
          <wp:extent cx="1057275" cy="704850"/>
          <wp:effectExtent l="19050" t="0" r="9525" b="0"/>
          <wp:docPr id="5" name="Image 5"/>
          <wp:cNvGraphicFramePr/>
          <a:graphic xmlns:a="http://schemas.openxmlformats.org/drawingml/2006/main">
            <a:graphicData uri="http://schemas.openxmlformats.org/drawingml/2006/picture">
              <pic:pic xmlns:pic="http://schemas.openxmlformats.org/drawingml/2006/picture">
                <pic:nvPicPr>
                  <pic:cNvPr id="2052" name="Image 5"/>
                  <pic:cNvPicPr>
                    <a:picLocks noChangeAspect="1" noChangeArrowheads="1"/>
                  </pic:cNvPicPr>
                </pic:nvPicPr>
                <pic:blipFill>
                  <a:blip r:embed="rId1"/>
                  <a:srcRect/>
                  <a:stretch>
                    <a:fillRect/>
                  </a:stretch>
                </pic:blipFill>
                <pic:spPr bwMode="auto">
                  <a:xfrm>
                    <a:off x="0" y="0"/>
                    <a:ext cx="1057055" cy="704703"/>
                  </a:xfrm>
                  <a:prstGeom prst="rect">
                    <a:avLst/>
                  </a:prstGeom>
                  <a:noFill/>
                  <a:ln w="9525">
                    <a:noFill/>
                    <a:miter lim="800000"/>
                    <a:headEnd/>
                    <a:tailEnd/>
                  </a:ln>
                </pic:spPr>
              </pic:pic>
            </a:graphicData>
          </a:graphic>
        </wp:inline>
      </w:drawing>
    </w:r>
    <w:r w:rsidRPr="00FD78D4">
      <w:rPr>
        <w:rFonts w:ascii="Times New Roman" w:hAnsi="Times New Roman" w:cs="Times New Roman"/>
        <w:b/>
        <w:sz w:val="28"/>
        <w:szCs w:val="28"/>
      </w:rPr>
      <w:ptab w:relativeTo="margin" w:alignment="center" w:leader="none"/>
    </w:r>
    <w:r w:rsidRPr="00FD78D4">
      <w:rPr>
        <w:rFonts w:ascii="Times New Roman" w:hAnsi="Times New Roman" w:cs="Times New Roman"/>
        <w:b/>
        <w:sz w:val="28"/>
        <w:szCs w:val="28"/>
      </w:rPr>
      <w:t>MANAGEMENT DE LA QUALITE</w:t>
    </w:r>
    <w:r w:rsidRPr="00FD78D4">
      <w:rPr>
        <w:rFonts w:ascii="Times New Roman" w:hAnsi="Times New Roman" w:cs="Times New Roman"/>
        <w:b/>
        <w:sz w:val="28"/>
        <w:szCs w:val="28"/>
      </w:rPr>
      <w:ptab w:relativeTo="margin" w:alignment="right" w:leader="none"/>
    </w:r>
    <w:r w:rsidRPr="00FD78D4">
      <w:rPr>
        <w:noProof/>
        <w:lang w:eastAsia="fr-FR"/>
      </w:rPr>
      <w:t xml:space="preserve"> </w:t>
    </w:r>
    <w:r w:rsidRPr="00FD78D4">
      <w:rPr>
        <w:noProof/>
        <w:lang w:eastAsia="fr-FR"/>
      </w:rPr>
      <w:drawing>
        <wp:inline distT="0" distB="0" distL="0" distR="0">
          <wp:extent cx="1019175" cy="752475"/>
          <wp:effectExtent l="19050" t="0" r="9525" b="0"/>
          <wp:docPr id="6" name="Image 6"/>
          <wp:cNvGraphicFramePr/>
          <a:graphic xmlns:a="http://schemas.openxmlformats.org/drawingml/2006/main">
            <a:graphicData uri="http://schemas.openxmlformats.org/drawingml/2006/picture">
              <pic:pic xmlns:pic="http://schemas.openxmlformats.org/drawingml/2006/picture">
                <pic:nvPicPr>
                  <pic:cNvPr id="2053" name="Image 6"/>
                  <pic:cNvPicPr>
                    <a:picLocks noChangeAspect="1" noChangeArrowheads="1"/>
                  </pic:cNvPicPr>
                </pic:nvPicPr>
                <pic:blipFill>
                  <a:blip r:embed="rId2"/>
                  <a:srcRect/>
                  <a:stretch>
                    <a:fillRect/>
                  </a:stretch>
                </pic:blipFill>
                <pic:spPr bwMode="auto">
                  <a:xfrm>
                    <a:off x="0" y="0"/>
                    <a:ext cx="1022763" cy="7551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DCB"/>
    <w:multiLevelType w:val="multilevel"/>
    <w:tmpl w:val="BFEE8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B645C"/>
    <w:multiLevelType w:val="multilevel"/>
    <w:tmpl w:val="DF5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B38F9"/>
    <w:multiLevelType w:val="hybridMultilevel"/>
    <w:tmpl w:val="EBC0C7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C06119"/>
    <w:multiLevelType w:val="multilevel"/>
    <w:tmpl w:val="787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14021"/>
    <w:multiLevelType w:val="hybridMultilevel"/>
    <w:tmpl w:val="FE0CE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A77F44"/>
    <w:multiLevelType w:val="hybridMultilevel"/>
    <w:tmpl w:val="530E95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2E2EEE"/>
    <w:multiLevelType w:val="multilevel"/>
    <w:tmpl w:val="20F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82714"/>
    <w:multiLevelType w:val="multilevel"/>
    <w:tmpl w:val="D87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D7F67"/>
    <w:multiLevelType w:val="multilevel"/>
    <w:tmpl w:val="D05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A112CF"/>
    <w:multiLevelType w:val="multilevel"/>
    <w:tmpl w:val="A48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1D6D6A"/>
    <w:multiLevelType w:val="multilevel"/>
    <w:tmpl w:val="7DF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CE1CEA"/>
    <w:multiLevelType w:val="multilevel"/>
    <w:tmpl w:val="E69C8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C22651"/>
    <w:multiLevelType w:val="multilevel"/>
    <w:tmpl w:val="52FAC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895DE0"/>
    <w:multiLevelType w:val="multilevel"/>
    <w:tmpl w:val="322AF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D238A7"/>
    <w:multiLevelType w:val="multilevel"/>
    <w:tmpl w:val="3EE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653907"/>
    <w:multiLevelType w:val="hybridMultilevel"/>
    <w:tmpl w:val="1DE89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7A7817"/>
    <w:multiLevelType w:val="hybridMultilevel"/>
    <w:tmpl w:val="33524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C568A8"/>
    <w:multiLevelType w:val="hybridMultilevel"/>
    <w:tmpl w:val="8C7E52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DA0AFB"/>
    <w:multiLevelType w:val="hybridMultilevel"/>
    <w:tmpl w:val="F6B641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BD53C9"/>
    <w:multiLevelType w:val="multilevel"/>
    <w:tmpl w:val="8CA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1"/>
  </w:num>
  <w:num w:numId="4">
    <w:abstractNumId w:val="12"/>
  </w:num>
  <w:num w:numId="5">
    <w:abstractNumId w:val="15"/>
  </w:num>
  <w:num w:numId="6">
    <w:abstractNumId w:val="18"/>
  </w:num>
  <w:num w:numId="7">
    <w:abstractNumId w:val="4"/>
  </w:num>
  <w:num w:numId="8">
    <w:abstractNumId w:val="10"/>
  </w:num>
  <w:num w:numId="9">
    <w:abstractNumId w:val="5"/>
  </w:num>
  <w:num w:numId="10">
    <w:abstractNumId w:val="19"/>
  </w:num>
  <w:num w:numId="11">
    <w:abstractNumId w:val="13"/>
  </w:num>
  <w:num w:numId="12">
    <w:abstractNumId w:val="3"/>
  </w:num>
  <w:num w:numId="13">
    <w:abstractNumId w:val="8"/>
  </w:num>
  <w:num w:numId="14">
    <w:abstractNumId w:val="1"/>
  </w:num>
  <w:num w:numId="15">
    <w:abstractNumId w:val="7"/>
  </w:num>
  <w:num w:numId="16">
    <w:abstractNumId w:val="9"/>
  </w:num>
  <w:num w:numId="17">
    <w:abstractNumId w:val="6"/>
  </w:num>
  <w:num w:numId="18">
    <w:abstractNumId w:val="2"/>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34D85"/>
    <w:rsid w:val="0000285E"/>
    <w:rsid w:val="000343B6"/>
    <w:rsid w:val="00057CFB"/>
    <w:rsid w:val="000C6536"/>
    <w:rsid w:val="000C6B47"/>
    <w:rsid w:val="000E68BA"/>
    <w:rsid w:val="00154A3B"/>
    <w:rsid w:val="0017559A"/>
    <w:rsid w:val="001A0E2A"/>
    <w:rsid w:val="00245E04"/>
    <w:rsid w:val="002B0FC6"/>
    <w:rsid w:val="00305B58"/>
    <w:rsid w:val="003633FB"/>
    <w:rsid w:val="00447AA1"/>
    <w:rsid w:val="004721CE"/>
    <w:rsid w:val="004B4D94"/>
    <w:rsid w:val="004E1B41"/>
    <w:rsid w:val="004E4C81"/>
    <w:rsid w:val="004F7C3D"/>
    <w:rsid w:val="00534D85"/>
    <w:rsid w:val="00581E24"/>
    <w:rsid w:val="005F3673"/>
    <w:rsid w:val="00651908"/>
    <w:rsid w:val="00664833"/>
    <w:rsid w:val="006A7B04"/>
    <w:rsid w:val="0071507E"/>
    <w:rsid w:val="007507E5"/>
    <w:rsid w:val="007A60B3"/>
    <w:rsid w:val="007C4C1A"/>
    <w:rsid w:val="00806DDF"/>
    <w:rsid w:val="008143E8"/>
    <w:rsid w:val="008442FD"/>
    <w:rsid w:val="008663DA"/>
    <w:rsid w:val="00882492"/>
    <w:rsid w:val="008D1E99"/>
    <w:rsid w:val="009F7EA6"/>
    <w:rsid w:val="00A4418F"/>
    <w:rsid w:val="00AD5740"/>
    <w:rsid w:val="00AD6CF5"/>
    <w:rsid w:val="00B52CDF"/>
    <w:rsid w:val="00D5336A"/>
    <w:rsid w:val="00DA62CF"/>
    <w:rsid w:val="00DB3222"/>
    <w:rsid w:val="00DF1A1E"/>
    <w:rsid w:val="00E85CE3"/>
    <w:rsid w:val="00E9082A"/>
    <w:rsid w:val="00ED405F"/>
    <w:rsid w:val="00EF173C"/>
    <w:rsid w:val="00F37280"/>
    <w:rsid w:val="00F81805"/>
    <w:rsid w:val="00F96503"/>
    <w:rsid w:val="00FD24C1"/>
    <w:rsid w:val="00FD78D4"/>
    <w:rsid w:val="00FE0FD4"/>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paragraph" w:styleId="Titre1">
    <w:name w:val="heading 1"/>
    <w:basedOn w:val="Normal"/>
    <w:next w:val="Normal"/>
    <w:link w:val="Titre1Car"/>
    <w:uiPriority w:val="9"/>
    <w:qFormat/>
    <w:rsid w:val="001A0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1A0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F965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D1E9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D1E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34D85"/>
  </w:style>
  <w:style w:type="character" w:styleId="Lienhypertexte">
    <w:name w:val="Hyperlink"/>
    <w:basedOn w:val="Policepardfaut"/>
    <w:uiPriority w:val="99"/>
    <w:unhideWhenUsed/>
    <w:rsid w:val="00534D85"/>
    <w:rPr>
      <w:color w:val="0000FF" w:themeColor="hyperlink"/>
      <w:u w:val="single"/>
    </w:rPr>
  </w:style>
  <w:style w:type="paragraph" w:styleId="Paragraphedeliste">
    <w:name w:val="List Paragraph"/>
    <w:basedOn w:val="Normal"/>
    <w:uiPriority w:val="34"/>
    <w:qFormat/>
    <w:rsid w:val="00154A3B"/>
    <w:pPr>
      <w:ind w:left="720"/>
      <w:contextualSpacing/>
    </w:pPr>
  </w:style>
  <w:style w:type="paragraph" w:styleId="Textedebulles">
    <w:name w:val="Balloon Text"/>
    <w:basedOn w:val="Normal"/>
    <w:link w:val="TextedebullesCar"/>
    <w:uiPriority w:val="99"/>
    <w:semiHidden/>
    <w:unhideWhenUsed/>
    <w:rsid w:val="00154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A3B"/>
    <w:rPr>
      <w:rFonts w:ascii="Tahoma" w:hAnsi="Tahoma" w:cs="Tahoma"/>
      <w:sz w:val="16"/>
      <w:szCs w:val="16"/>
    </w:rPr>
  </w:style>
  <w:style w:type="paragraph" w:styleId="En-tte">
    <w:name w:val="header"/>
    <w:basedOn w:val="Normal"/>
    <w:link w:val="En-tteCar"/>
    <w:uiPriority w:val="99"/>
    <w:semiHidden/>
    <w:unhideWhenUsed/>
    <w:rsid w:val="00154A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4A3B"/>
  </w:style>
  <w:style w:type="paragraph" w:styleId="Pieddepage">
    <w:name w:val="footer"/>
    <w:basedOn w:val="Normal"/>
    <w:link w:val="PieddepageCar"/>
    <w:uiPriority w:val="99"/>
    <w:semiHidden/>
    <w:unhideWhenUsed/>
    <w:rsid w:val="00154A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4A3B"/>
  </w:style>
  <w:style w:type="character" w:customStyle="1" w:styleId="apple-style-span">
    <w:name w:val="apple-style-span"/>
    <w:basedOn w:val="Policepardfaut"/>
    <w:rsid w:val="0017559A"/>
  </w:style>
  <w:style w:type="paragraph" w:customStyle="1" w:styleId="niv1">
    <w:name w:val="niv1"/>
    <w:basedOn w:val="Normal"/>
    <w:rsid w:val="00175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F965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96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96503"/>
  </w:style>
  <w:style w:type="character" w:customStyle="1" w:styleId="editsection">
    <w:name w:val="editsection"/>
    <w:basedOn w:val="Policepardfaut"/>
    <w:rsid w:val="00F96503"/>
  </w:style>
  <w:style w:type="character" w:customStyle="1" w:styleId="Titre5Car">
    <w:name w:val="Titre 5 Car"/>
    <w:basedOn w:val="Policepardfaut"/>
    <w:link w:val="Titre5"/>
    <w:uiPriority w:val="9"/>
    <w:rsid w:val="008D1E9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D1E99"/>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1A0E2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1A0E2A"/>
    <w:rPr>
      <w:rFonts w:asciiTheme="majorHAnsi" w:eastAsiaTheme="majorEastAsia" w:hAnsiTheme="majorHAnsi" w:cstheme="majorBidi"/>
      <w:b/>
      <w:bCs/>
      <w:color w:val="4F81BD" w:themeColor="accent1"/>
      <w:sz w:val="26"/>
      <w:szCs w:val="26"/>
    </w:rPr>
  </w:style>
  <w:style w:type="character" w:customStyle="1" w:styleId="addthisseparator">
    <w:name w:val="addthis_separator"/>
    <w:basedOn w:val="Policepardfaut"/>
    <w:rsid w:val="008663DA"/>
  </w:style>
  <w:style w:type="table" w:styleId="Grilledutableau">
    <w:name w:val="Table Grid"/>
    <w:basedOn w:val="TableauNormal"/>
    <w:uiPriority w:val="59"/>
    <w:rsid w:val="00E85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
    <w:name w:val="postbody"/>
    <w:basedOn w:val="Policepardfaut"/>
    <w:rsid w:val="00E85CE3"/>
  </w:style>
</w:styles>
</file>

<file path=word/webSettings.xml><?xml version="1.0" encoding="utf-8"?>
<w:webSettings xmlns:r="http://schemas.openxmlformats.org/officeDocument/2006/relationships" xmlns:w="http://schemas.openxmlformats.org/wordprocessingml/2006/main">
  <w:divs>
    <w:div w:id="37626466">
      <w:bodyDiv w:val="1"/>
      <w:marLeft w:val="0"/>
      <w:marRight w:val="0"/>
      <w:marTop w:val="0"/>
      <w:marBottom w:val="0"/>
      <w:divBdr>
        <w:top w:val="none" w:sz="0" w:space="0" w:color="auto"/>
        <w:left w:val="none" w:sz="0" w:space="0" w:color="auto"/>
        <w:bottom w:val="none" w:sz="0" w:space="0" w:color="auto"/>
        <w:right w:val="none" w:sz="0" w:space="0" w:color="auto"/>
      </w:divBdr>
    </w:div>
    <w:div w:id="497691172">
      <w:bodyDiv w:val="1"/>
      <w:marLeft w:val="0"/>
      <w:marRight w:val="0"/>
      <w:marTop w:val="0"/>
      <w:marBottom w:val="0"/>
      <w:divBdr>
        <w:top w:val="none" w:sz="0" w:space="0" w:color="auto"/>
        <w:left w:val="none" w:sz="0" w:space="0" w:color="auto"/>
        <w:bottom w:val="none" w:sz="0" w:space="0" w:color="auto"/>
        <w:right w:val="none" w:sz="0" w:space="0" w:color="auto"/>
      </w:divBdr>
    </w:div>
    <w:div w:id="498741072">
      <w:bodyDiv w:val="1"/>
      <w:marLeft w:val="0"/>
      <w:marRight w:val="0"/>
      <w:marTop w:val="0"/>
      <w:marBottom w:val="0"/>
      <w:divBdr>
        <w:top w:val="none" w:sz="0" w:space="0" w:color="auto"/>
        <w:left w:val="none" w:sz="0" w:space="0" w:color="auto"/>
        <w:bottom w:val="none" w:sz="0" w:space="0" w:color="auto"/>
        <w:right w:val="none" w:sz="0" w:space="0" w:color="auto"/>
      </w:divBdr>
    </w:div>
    <w:div w:id="1114247057">
      <w:bodyDiv w:val="1"/>
      <w:marLeft w:val="0"/>
      <w:marRight w:val="0"/>
      <w:marTop w:val="0"/>
      <w:marBottom w:val="0"/>
      <w:divBdr>
        <w:top w:val="none" w:sz="0" w:space="0" w:color="auto"/>
        <w:left w:val="none" w:sz="0" w:space="0" w:color="auto"/>
        <w:bottom w:val="none" w:sz="0" w:space="0" w:color="auto"/>
        <w:right w:val="none" w:sz="0" w:space="0" w:color="auto"/>
      </w:divBdr>
    </w:div>
    <w:div w:id="1393388946">
      <w:bodyDiv w:val="1"/>
      <w:marLeft w:val="0"/>
      <w:marRight w:val="0"/>
      <w:marTop w:val="0"/>
      <w:marBottom w:val="0"/>
      <w:divBdr>
        <w:top w:val="none" w:sz="0" w:space="0" w:color="auto"/>
        <w:left w:val="none" w:sz="0" w:space="0" w:color="auto"/>
        <w:bottom w:val="none" w:sz="0" w:space="0" w:color="auto"/>
        <w:right w:val="none" w:sz="0" w:space="0" w:color="auto"/>
      </w:divBdr>
    </w:div>
    <w:div w:id="1516653693">
      <w:bodyDiv w:val="1"/>
      <w:marLeft w:val="0"/>
      <w:marRight w:val="0"/>
      <w:marTop w:val="0"/>
      <w:marBottom w:val="0"/>
      <w:divBdr>
        <w:top w:val="none" w:sz="0" w:space="0" w:color="auto"/>
        <w:left w:val="none" w:sz="0" w:space="0" w:color="auto"/>
        <w:bottom w:val="none" w:sz="0" w:space="0" w:color="auto"/>
        <w:right w:val="none" w:sz="0" w:space="0" w:color="auto"/>
      </w:divBdr>
    </w:div>
    <w:div w:id="16892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CB3CD-9C47-4FD0-98F2-ED0D3D44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772</Words>
  <Characters>4247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2012-09-30T22:40:00Z</dcterms:created>
  <dcterms:modified xsi:type="dcterms:W3CDTF">2012-09-30T22:40:00Z</dcterms:modified>
</cp:coreProperties>
</file>